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FAE9" w14:textId="77777777" w:rsidR="00A84CA7" w:rsidRDefault="00A84CA7" w:rsidP="002C7B33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2C7B33">
      <w:pPr>
        <w:rPr>
          <w:rFonts w:ascii="National" w:hAnsi="National"/>
          <w:color w:val="303AB2"/>
          <w:sz w:val="18"/>
          <w:szCs w:val="12"/>
        </w:rPr>
      </w:pPr>
    </w:p>
    <w:p w14:paraId="2907E5CC" w14:textId="4A5E10B8" w:rsidR="00753088" w:rsidRPr="00753088" w:rsidRDefault="00170E94" w:rsidP="002C7B33">
      <w:pPr>
        <w:spacing w:line="276" w:lineRule="auto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NOVIEMBRE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796F7734" w14:textId="195424A7" w:rsidR="008474A4" w:rsidRPr="00BB1E91" w:rsidRDefault="00EC3634" w:rsidP="008474A4">
      <w:pPr>
        <w:jc w:val="center"/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</w:pPr>
      <w:r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>Sube el precio de la vivienda de segunda mano en noviembre después de 11 meses de caídas</w:t>
      </w:r>
    </w:p>
    <w:p w14:paraId="2D78D71A" w14:textId="3A76281F" w:rsidR="005B1610" w:rsidRDefault="005B1610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61EE05C0" w14:textId="77777777" w:rsidR="008474A4" w:rsidRPr="00FB5607" w:rsidRDefault="008474A4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5597BBAB" w14:textId="16D20252" w:rsidR="00EC3634" w:rsidRDefault="00EC3634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La variación media mensual es de 1% y la interanual del 0,7%</w:t>
      </w:r>
    </w:p>
    <w:p w14:paraId="151D92D1" w14:textId="4FD91216" w:rsidR="00753088" w:rsidRPr="00764C8B" w:rsidRDefault="0075308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</w:pP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El precio medio de la vivienda de segunda mano se sitúa</w:t>
      </w:r>
      <w:r w:rsidR="00DF1C50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en </w:t>
      </w:r>
      <w:r w:rsidR="00177F34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1.</w:t>
      </w:r>
      <w:r w:rsidR="004775A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8</w:t>
      </w:r>
      <w:r w:rsidR="004D333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77</w:t>
      </w:r>
      <w:r w:rsidR="00BF58E4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</w:t>
      </w:r>
      <w:r w:rsidR="00F23A6E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euros/m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vertAlign w:val="superscript"/>
          <w:lang w:val="es-ES" w:eastAsia="es-ES_tradnl"/>
        </w:rPr>
        <w:t>2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</w:t>
      </w:r>
    </w:p>
    <w:p w14:paraId="4C1DA0C8" w14:textId="7A10C3E4" w:rsidR="00161FF5" w:rsidRPr="00764C8B" w:rsidRDefault="00156927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</w:pP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La vivienda en venta </w:t>
      </w:r>
      <w:r w:rsidR="00043E63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sube de 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precio en </w:t>
      </w:r>
      <w:r w:rsidR="00043E63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1</w:t>
      </w:r>
      <w:r w:rsidR="004D333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2</w:t>
      </w:r>
      <w:r w:rsidR="00043E63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comunidades, en el </w:t>
      </w:r>
      <w:r w:rsidR="004D333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65</w:t>
      </w:r>
      <w:r w:rsidR="00043E63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% de las provincia</w:t>
      </w:r>
      <w:r w:rsidR="007C1EC1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s, </w:t>
      </w:r>
      <w:r w:rsidR="00043E63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en </w:t>
      </w:r>
      <w:r w:rsidR="005B4E2C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el </w:t>
      </w:r>
      <w:r w:rsidR="004D333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60</w:t>
      </w:r>
      <w:r w:rsidR="005B4E2C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% de las</w:t>
      </w:r>
      <w:r w:rsidR="00E27391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</w:t>
      </w:r>
      <w:r w:rsidR="004D333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capitales de 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provincias</w:t>
      </w:r>
      <w:r w:rsidR="00043E63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y el </w:t>
      </w:r>
      <w:r w:rsidR="004D333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50</w:t>
      </w:r>
      <w:r w:rsidR="00043E63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% de los municipios españoles</w:t>
      </w:r>
    </w:p>
    <w:p w14:paraId="7E4C03A7" w14:textId="0E11D949" w:rsidR="00533E9C" w:rsidRPr="00764C8B" w:rsidRDefault="00533E9C" w:rsidP="00DE0DC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</w:pP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La variación mensual baja en 1</w:t>
      </w:r>
      <w:r w:rsidR="007C1EC1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5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de los 21 </w:t>
      </w:r>
      <w:r w:rsidR="00DE0DCE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distrito</w:t>
      </w:r>
      <w:r w:rsidR="00156927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s</w:t>
      </w:r>
      <w:r w:rsidR="00DE0DCE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</w:t>
      </w:r>
      <w:r w:rsidR="00E27391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de 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Madrid y en </w:t>
      </w:r>
      <w:r w:rsidR="007C1EC1"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>siete</w:t>
      </w:r>
      <w:r w:rsidRPr="00764C8B">
        <w:rPr>
          <w:rFonts w:ascii="Open Sans" w:eastAsia="Times New Roman" w:hAnsi="Open Sans" w:cs="Open Sans"/>
          <w:color w:val="303AB2"/>
          <w:sz w:val="22"/>
          <w:szCs w:val="22"/>
          <w:lang w:val="es-ES" w:eastAsia="es-ES_tradnl"/>
        </w:rPr>
        <w:t xml:space="preserve"> de los diez distritos de Barcelona</w:t>
      </w:r>
    </w:p>
    <w:p w14:paraId="3963DF7A" w14:textId="3D032208" w:rsidR="002A35C0" w:rsidRPr="00AB5C6D" w:rsidRDefault="00010ECE" w:rsidP="00764C8B">
      <w:pPr>
        <w:pStyle w:val="Prrafodelista"/>
        <w:spacing w:line="276" w:lineRule="auto"/>
        <w:ind w:left="0" w:firstLine="720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Madrid,</w:t>
      </w:r>
      <w:r w:rsidR="00DF1C5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r w:rsidR="005910B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3</w:t>
      </w:r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bookmarkStart w:id="0" w:name="_Hlk535926297"/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de </w:t>
      </w:r>
      <w:r w:rsidR="005910B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diciembre</w:t>
      </w:r>
      <w:r w:rsidR="002A35C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</w:t>
      </w:r>
      <w:bookmarkEnd w:id="0"/>
      <w:r w:rsidR="007D6B1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20</w:t>
      </w:r>
    </w:p>
    <w:p w14:paraId="1FF68B9F" w14:textId="5EEB75E2" w:rsidR="00776F95" w:rsidRDefault="00136E6D" w:rsidP="00470565">
      <w:pPr>
        <w:pStyle w:val="NormalWeb"/>
        <w:shd w:val="clear" w:color="auto" w:fill="FFFFFF"/>
        <w:tabs>
          <w:tab w:val="left" w:pos="3119"/>
        </w:tabs>
        <w:spacing w:after="225"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4775A7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</w:t>
      </w:r>
      <w:r w:rsidR="00444A27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un </w:t>
      </w:r>
      <w:r w:rsidR="005910BD">
        <w:rPr>
          <w:rFonts w:ascii="Open Sans" w:hAnsi="Open Sans" w:cs="Open Sans"/>
          <w:color w:val="000000"/>
        </w:rPr>
        <w:t>1</w:t>
      </w:r>
      <w:r w:rsidRPr="00753088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la variación mensual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</w:t>
      </w:r>
      <w:r w:rsidRPr="00753088">
        <w:rPr>
          <w:rFonts w:ascii="Open Sans" w:hAnsi="Open Sans" w:cs="Open Sans"/>
          <w:color w:val="000000"/>
        </w:rPr>
        <w:t xml:space="preserve">el precio de la vivienda de segunda mano </w:t>
      </w:r>
      <w:r>
        <w:rPr>
          <w:rFonts w:ascii="Open Sans" w:hAnsi="Open Sans" w:cs="Open Sans"/>
          <w:color w:val="000000"/>
        </w:rPr>
        <w:t xml:space="preserve">y </w:t>
      </w:r>
      <w:r w:rsidR="00AB5C6D">
        <w:rPr>
          <w:rFonts w:ascii="Open Sans" w:hAnsi="Open Sans" w:cs="Open Sans"/>
          <w:color w:val="000000"/>
        </w:rPr>
        <w:t>un</w:t>
      </w:r>
      <w:r>
        <w:rPr>
          <w:rFonts w:ascii="Open Sans" w:hAnsi="Open Sans" w:cs="Open Sans"/>
          <w:color w:val="000000"/>
        </w:rPr>
        <w:t xml:space="preserve"> </w:t>
      </w:r>
      <w:r w:rsidR="005910BD">
        <w:rPr>
          <w:rFonts w:ascii="Open Sans" w:hAnsi="Open Sans" w:cs="Open Sans"/>
          <w:color w:val="000000"/>
        </w:rPr>
        <w:t>0,7</w:t>
      </w:r>
      <w:r>
        <w:rPr>
          <w:rFonts w:ascii="Open Sans" w:hAnsi="Open Sans" w:cs="Open Sans"/>
          <w:color w:val="000000"/>
        </w:rPr>
        <w:t xml:space="preserve">% </w:t>
      </w:r>
      <w:r w:rsidR="00444A27">
        <w:rPr>
          <w:rFonts w:ascii="Open Sans" w:hAnsi="Open Sans" w:cs="Open Sans"/>
          <w:color w:val="000000"/>
        </w:rPr>
        <w:t xml:space="preserve">en </w:t>
      </w:r>
      <w:r>
        <w:rPr>
          <w:rFonts w:ascii="Open Sans" w:hAnsi="Open Sans" w:cs="Open Sans"/>
          <w:color w:val="000000"/>
        </w:rPr>
        <w:t xml:space="preserve">su variación interanual, situando su precio en </w:t>
      </w:r>
      <w:r w:rsidRPr="00753088">
        <w:rPr>
          <w:rFonts w:ascii="Open Sans" w:hAnsi="Open Sans" w:cs="Open Sans"/>
          <w:color w:val="000000"/>
        </w:rPr>
        <w:t>1.</w:t>
      </w:r>
      <w:r w:rsidR="00A15E65">
        <w:rPr>
          <w:rFonts w:ascii="Open Sans" w:hAnsi="Open Sans" w:cs="Open Sans"/>
          <w:color w:val="000000"/>
        </w:rPr>
        <w:t>8</w:t>
      </w:r>
      <w:r w:rsidR="005910BD">
        <w:rPr>
          <w:rFonts w:ascii="Open Sans" w:hAnsi="Open Sans" w:cs="Open Sans"/>
          <w:color w:val="000000"/>
        </w:rPr>
        <w:t>77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r w:rsidR="005910BD">
        <w:rPr>
          <w:rFonts w:ascii="Open Sans" w:hAnsi="Open Sans" w:cs="Open Sans"/>
          <w:color w:val="000000"/>
        </w:rPr>
        <w:t>noviembre</w:t>
      </w:r>
      <w:r w:rsidRPr="00753088">
        <w:rPr>
          <w:rFonts w:ascii="Open Sans" w:hAnsi="Open Sans" w:cs="Open Sans"/>
          <w:color w:val="000000"/>
        </w:rPr>
        <w:t>, según los</w:t>
      </w:r>
      <w:r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776F95">
        <w:rPr>
          <w:rFonts w:ascii="Open Sans" w:hAnsi="Open Sans" w:cs="Open Sans"/>
          <w:color w:val="000000"/>
        </w:rPr>
        <w:t xml:space="preserve">Este </w:t>
      </w:r>
      <w:r w:rsidR="002921A8">
        <w:rPr>
          <w:rFonts w:ascii="Open Sans" w:hAnsi="Open Sans" w:cs="Open Sans"/>
          <w:color w:val="000000"/>
        </w:rPr>
        <w:t xml:space="preserve">último </w:t>
      </w:r>
      <w:r w:rsidR="00776F95">
        <w:rPr>
          <w:rFonts w:ascii="Open Sans" w:hAnsi="Open Sans" w:cs="Open Sans"/>
          <w:color w:val="000000"/>
        </w:rPr>
        <w:t xml:space="preserve">valor </w:t>
      </w:r>
      <w:r w:rsidR="002921A8">
        <w:rPr>
          <w:rFonts w:ascii="Open Sans" w:hAnsi="Open Sans" w:cs="Open Sans"/>
          <w:color w:val="000000"/>
        </w:rPr>
        <w:t xml:space="preserve">es la primera </w:t>
      </w:r>
      <w:r w:rsidR="005910BD">
        <w:rPr>
          <w:rFonts w:ascii="Open Sans" w:hAnsi="Open Sans" w:cs="Open Sans"/>
          <w:color w:val="000000"/>
        </w:rPr>
        <w:t>subida</w:t>
      </w:r>
      <w:r w:rsidR="002921A8">
        <w:rPr>
          <w:rFonts w:ascii="Open Sans" w:hAnsi="Open Sans" w:cs="Open Sans"/>
          <w:color w:val="000000"/>
        </w:rPr>
        <w:t xml:space="preserve"> </w:t>
      </w:r>
      <w:r w:rsidR="005910BD">
        <w:rPr>
          <w:rFonts w:ascii="Open Sans" w:hAnsi="Open Sans" w:cs="Open Sans"/>
          <w:color w:val="000000"/>
        </w:rPr>
        <w:t xml:space="preserve">(0,7%) </w:t>
      </w:r>
      <w:r w:rsidR="002921A8">
        <w:rPr>
          <w:rFonts w:ascii="Open Sans" w:hAnsi="Open Sans" w:cs="Open Sans"/>
          <w:color w:val="000000"/>
        </w:rPr>
        <w:t>del precio de la vivienda</w:t>
      </w:r>
      <w:r w:rsidR="005910BD">
        <w:rPr>
          <w:rFonts w:ascii="Open Sans" w:hAnsi="Open Sans" w:cs="Open Sans"/>
          <w:color w:val="000000"/>
        </w:rPr>
        <w:t xml:space="preserve"> detectado este año después de 11 meses de caídas interanuales en cadena</w:t>
      </w:r>
      <w:r w:rsidR="007C1EC1">
        <w:rPr>
          <w:rFonts w:ascii="Open Sans" w:hAnsi="Open Sans" w:cs="Open Sans"/>
          <w:color w:val="000000"/>
        </w:rPr>
        <w:t xml:space="preserve"> (desde diciembre de 2019)</w:t>
      </w:r>
      <w:r w:rsidR="005910BD">
        <w:rPr>
          <w:rFonts w:ascii="Open Sans" w:hAnsi="Open Sans" w:cs="Open Sans"/>
          <w:color w:val="000000"/>
        </w:rPr>
        <w:t xml:space="preserve">. </w:t>
      </w:r>
    </w:p>
    <w:p w14:paraId="78033DE5" w14:textId="1210AF8F" w:rsidR="00AB5C6D" w:rsidRPr="00AB5C6D" w:rsidRDefault="00AB5C6D" w:rsidP="00AB5C6D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b/>
          <w:bCs/>
          <w:color w:val="303AB2"/>
          <w:sz w:val="26"/>
          <w:szCs w:val="26"/>
        </w:rPr>
      </w:pPr>
      <w:r w:rsidRPr="00AB5C6D">
        <w:rPr>
          <w:rFonts w:ascii="Open Sans" w:hAnsi="Open Sans" w:cs="Open Sans"/>
          <w:b/>
          <w:bCs/>
          <w:color w:val="303AB2"/>
          <w:sz w:val="26"/>
          <w:szCs w:val="26"/>
        </w:rPr>
        <w:t>Variación mensual e interanual</w:t>
      </w:r>
    </w:p>
    <w:p w14:paraId="534CBE1D" w14:textId="35CC34EF" w:rsidR="003E37AB" w:rsidRDefault="005910BD" w:rsidP="003E37AB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761796FA" wp14:editId="23E34562">
            <wp:extent cx="5400136" cy="29781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9F4F1F5-AC0B-4EF6-ACB3-7A0746E7B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3210BB" w14:textId="631CEFC9" w:rsidR="00911453" w:rsidRDefault="00911453" w:rsidP="001A160B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“El mercado de la vivienda de venta está muy dinámico y ágil desde el final del estado de alarma. Si durante este año 2020 hemos ido registrando caídas interanuales cercanas al -2%, fruto de este dinamismo el precio de la vivienda de segunda mano vuelve a subir ligeramente. Esto nos está indicando que, de momento, los propietarios no están bajando precios debido a la crisis del coronavirus. De hecho, el informe presentado recientemente por </w:t>
      </w:r>
      <w:hyperlink r:id="rId11" w:history="1">
        <w:r w:rsidR="00D9179A" w:rsidRPr="006443B7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“</w:t>
      </w:r>
      <w:hyperlink r:id="rId12" w:history="1">
        <w:r w:rsidRPr="00D9179A">
          <w:rPr>
            <w:rStyle w:val="Hipervnculo"/>
            <w:rFonts w:ascii="Open Sans" w:hAnsi="Open Sans" w:cs="Open Sans"/>
          </w:rPr>
          <w:t>Medio año de pandemia: impacto en el sector inmobiliario</w:t>
        </w:r>
      </w:hyperlink>
      <w:r w:rsidR="00D9179A">
        <w:rPr>
          <w:rFonts w:ascii="Open Sans" w:hAnsi="Open Sans" w:cs="Open Sans"/>
          <w:color w:val="000000"/>
        </w:rPr>
        <w:t xml:space="preserve">” ya mostraba que la intención por comprar vivienda ha subido cuatro puntos desde antes de la pandemia: ha pasado del 39% en febrero al 43% actualmente”, explica Anaïs López, directora de Comunicación de </w:t>
      </w:r>
      <w:hyperlink r:id="rId13" w:history="1">
        <w:r w:rsidR="00D9179A" w:rsidRPr="006443B7">
          <w:rPr>
            <w:rStyle w:val="Hipervnculo"/>
            <w:rFonts w:ascii="Open Sans" w:hAnsi="Open Sans" w:cs="Open Sans"/>
          </w:rPr>
          <w:t>Fotocasa</w:t>
        </w:r>
      </w:hyperlink>
      <w:r w:rsidR="00D9179A">
        <w:rPr>
          <w:rFonts w:ascii="Open Sans" w:hAnsi="Open Sans" w:cs="Open Sans"/>
          <w:color w:val="000000"/>
        </w:rPr>
        <w:t xml:space="preserve">. </w:t>
      </w:r>
    </w:p>
    <w:p w14:paraId="2CD4F9C2" w14:textId="60D186ED" w:rsidR="001A160B" w:rsidRDefault="007D6B10" w:rsidP="001A160B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t xml:space="preserve">En España </w:t>
      </w:r>
      <w:r w:rsidR="002921A8">
        <w:rPr>
          <w:rFonts w:ascii="Open Sans" w:hAnsi="Open Sans" w:cs="Open Sans"/>
          <w:color w:val="000000"/>
        </w:rPr>
        <w:t>1</w:t>
      </w:r>
      <w:r w:rsidR="005910BD">
        <w:rPr>
          <w:rFonts w:ascii="Open Sans" w:hAnsi="Open Sans" w:cs="Open Sans"/>
          <w:color w:val="000000"/>
        </w:rPr>
        <w:t>2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2921A8">
        <w:rPr>
          <w:rFonts w:ascii="Open Sans" w:hAnsi="Open Sans" w:cs="Open Sans"/>
          <w:color w:val="000000"/>
        </w:rPr>
        <w:t>positivos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5910BD">
        <w:rPr>
          <w:rFonts w:ascii="Open Sans" w:hAnsi="Open Sans" w:cs="Open Sans"/>
          <w:color w:val="000000"/>
        </w:rPr>
        <w:t>noviembre</w:t>
      </w:r>
      <w:r w:rsidR="001B32B7">
        <w:rPr>
          <w:rFonts w:ascii="Open Sans" w:hAnsi="Open Sans" w:cs="Open Sans"/>
          <w:color w:val="000000"/>
        </w:rPr>
        <w:t xml:space="preserve"> d</w:t>
      </w:r>
      <w:r w:rsidRPr="00F64561">
        <w:rPr>
          <w:rFonts w:ascii="Open Sans" w:hAnsi="Open Sans" w:cs="Open Sans"/>
          <w:color w:val="000000"/>
        </w:rPr>
        <w:t>e 20</w:t>
      </w:r>
      <w:r>
        <w:rPr>
          <w:rFonts w:ascii="Open Sans" w:hAnsi="Open Sans" w:cs="Open Sans"/>
          <w:color w:val="000000"/>
        </w:rPr>
        <w:t>20</w:t>
      </w:r>
      <w:r w:rsidRPr="00F64561">
        <w:rPr>
          <w:rFonts w:ascii="Open Sans" w:hAnsi="Open Sans" w:cs="Open Sans"/>
          <w:color w:val="000000"/>
        </w:rPr>
        <w:t xml:space="preserve">. </w:t>
      </w:r>
      <w:r w:rsidR="00E030C6">
        <w:rPr>
          <w:rFonts w:ascii="Open Sans" w:hAnsi="Open Sans" w:cs="Open Sans"/>
          <w:color w:val="000000"/>
        </w:rPr>
        <w:t xml:space="preserve">Cuatro de las </w:t>
      </w:r>
      <w:r>
        <w:rPr>
          <w:rFonts w:ascii="Open Sans" w:hAnsi="Open Sans" w:cs="Open Sans"/>
          <w:color w:val="000000"/>
        </w:rPr>
        <w:t>comunidad</w:t>
      </w:r>
      <w:r w:rsidR="001B32B7">
        <w:rPr>
          <w:rFonts w:ascii="Open Sans" w:hAnsi="Open Sans" w:cs="Open Sans"/>
          <w:color w:val="000000"/>
        </w:rPr>
        <w:t>es</w:t>
      </w:r>
      <w:r w:rsidR="00E030C6">
        <w:rPr>
          <w:rFonts w:ascii="Open Sans" w:hAnsi="Open Sans" w:cs="Open Sans"/>
          <w:color w:val="000000"/>
        </w:rPr>
        <w:t xml:space="preserve"> muestran</w:t>
      </w:r>
      <w:r w:rsidR="002921A8">
        <w:rPr>
          <w:rFonts w:ascii="Open Sans" w:hAnsi="Open Sans" w:cs="Open Sans"/>
          <w:color w:val="000000"/>
        </w:rPr>
        <w:t xml:space="preserve"> incrementos por encima del 1% </w:t>
      </w:r>
      <w:r w:rsidR="001B32B7">
        <w:rPr>
          <w:rFonts w:ascii="Open Sans" w:hAnsi="Open Sans" w:cs="Open Sans"/>
          <w:color w:val="000000"/>
        </w:rPr>
        <w:t>son:</w:t>
      </w:r>
      <w:r w:rsidR="001B32B7" w:rsidRPr="001B32B7">
        <w:rPr>
          <w:rFonts w:ascii="Open Sans" w:hAnsi="Open Sans" w:cs="Open Sans"/>
          <w:color w:val="000000"/>
        </w:rPr>
        <w:t xml:space="preserve"> </w:t>
      </w:r>
      <w:r w:rsidR="005910BD" w:rsidRPr="005910BD">
        <w:rPr>
          <w:rFonts w:ascii="Open Sans" w:hAnsi="Open Sans" w:cs="Open Sans"/>
          <w:color w:val="000000"/>
        </w:rPr>
        <w:t xml:space="preserve">Cataluña </w:t>
      </w:r>
      <w:r w:rsidR="005910BD">
        <w:rPr>
          <w:rFonts w:ascii="Open Sans" w:hAnsi="Open Sans" w:cs="Open Sans"/>
          <w:color w:val="000000"/>
        </w:rPr>
        <w:t xml:space="preserve">(2,8%), </w:t>
      </w:r>
      <w:r w:rsidR="005910BD" w:rsidRPr="005910BD">
        <w:rPr>
          <w:rFonts w:ascii="Open Sans" w:hAnsi="Open Sans" w:cs="Open Sans"/>
          <w:color w:val="000000"/>
        </w:rPr>
        <w:t>Aragón</w:t>
      </w:r>
      <w:r w:rsidR="005910BD">
        <w:rPr>
          <w:rFonts w:ascii="Open Sans" w:hAnsi="Open Sans" w:cs="Open Sans"/>
          <w:color w:val="000000"/>
        </w:rPr>
        <w:t xml:space="preserve"> (2,1%), </w:t>
      </w:r>
      <w:r w:rsidR="005910BD" w:rsidRPr="005910BD">
        <w:rPr>
          <w:rFonts w:ascii="Open Sans" w:hAnsi="Open Sans" w:cs="Open Sans"/>
          <w:color w:val="000000"/>
        </w:rPr>
        <w:t xml:space="preserve">Extremadura </w:t>
      </w:r>
      <w:r w:rsidR="005910BD">
        <w:rPr>
          <w:rFonts w:ascii="Open Sans" w:hAnsi="Open Sans" w:cs="Open Sans"/>
          <w:color w:val="000000"/>
        </w:rPr>
        <w:t xml:space="preserve">(1,8%), </w:t>
      </w:r>
      <w:r w:rsidR="005910BD" w:rsidRPr="005910BD">
        <w:rPr>
          <w:rFonts w:ascii="Open Sans" w:hAnsi="Open Sans" w:cs="Open Sans"/>
          <w:color w:val="000000"/>
        </w:rPr>
        <w:t>La Rioja</w:t>
      </w:r>
      <w:r w:rsidR="005910BD">
        <w:rPr>
          <w:rFonts w:ascii="Open Sans" w:hAnsi="Open Sans" w:cs="Open Sans"/>
          <w:color w:val="000000"/>
        </w:rPr>
        <w:t xml:space="preserve"> (1,1%).</w:t>
      </w:r>
      <w:r w:rsidR="005910BD" w:rsidRPr="005910BD">
        <w:rPr>
          <w:rFonts w:ascii="Open Sans" w:hAnsi="Open Sans" w:cs="Open Sans"/>
          <w:color w:val="000000"/>
        </w:rPr>
        <w:t xml:space="preserve"> </w:t>
      </w:r>
      <w:r w:rsidR="005910BD">
        <w:rPr>
          <w:rFonts w:ascii="Open Sans" w:hAnsi="Open Sans" w:cs="Open Sans"/>
          <w:color w:val="000000"/>
        </w:rPr>
        <w:t xml:space="preserve">Por otro lado, las comunidades que descienden el precio de la vivienda en </w:t>
      </w:r>
      <w:r w:rsidR="001A160B">
        <w:rPr>
          <w:rFonts w:ascii="Open Sans" w:hAnsi="Open Sans" w:cs="Open Sans"/>
          <w:color w:val="000000"/>
        </w:rPr>
        <w:t>noviembre</w:t>
      </w:r>
      <w:r w:rsidR="005910BD">
        <w:rPr>
          <w:rFonts w:ascii="Open Sans" w:hAnsi="Open Sans" w:cs="Open Sans"/>
          <w:color w:val="000000"/>
        </w:rPr>
        <w:t xml:space="preserve"> son:</w:t>
      </w:r>
      <w:r w:rsidR="005910BD" w:rsidRPr="002B1D60">
        <w:rPr>
          <w:rFonts w:ascii="Open Sans" w:hAnsi="Open Sans" w:cs="Open Sans"/>
          <w:color w:val="000000"/>
        </w:rPr>
        <w:t xml:space="preserve"> </w:t>
      </w:r>
      <w:r w:rsidR="001A160B" w:rsidRPr="001A160B">
        <w:rPr>
          <w:rFonts w:ascii="Open Sans" w:hAnsi="Open Sans" w:cs="Open Sans"/>
          <w:color w:val="000000"/>
        </w:rPr>
        <w:t xml:space="preserve">Castilla-La Mancha </w:t>
      </w:r>
      <w:r w:rsidR="001A160B">
        <w:rPr>
          <w:rFonts w:ascii="Open Sans" w:hAnsi="Open Sans" w:cs="Open Sans"/>
          <w:color w:val="000000"/>
        </w:rPr>
        <w:t>(-2,7%),</w:t>
      </w:r>
      <w:r w:rsidR="001A160B" w:rsidRPr="001A160B">
        <w:rPr>
          <w:rFonts w:ascii="Open Sans" w:hAnsi="Open Sans" w:cs="Open Sans"/>
          <w:color w:val="000000"/>
        </w:rPr>
        <w:t xml:space="preserve"> Navarra </w:t>
      </w:r>
      <w:r w:rsidR="001A160B">
        <w:rPr>
          <w:rFonts w:ascii="Open Sans" w:hAnsi="Open Sans" w:cs="Open Sans"/>
          <w:color w:val="000000"/>
        </w:rPr>
        <w:t>(-2,5%),</w:t>
      </w:r>
      <w:r w:rsidR="001A160B" w:rsidRPr="001A160B">
        <w:rPr>
          <w:rFonts w:ascii="Open Sans" w:hAnsi="Open Sans" w:cs="Open Sans"/>
          <w:color w:val="000000"/>
        </w:rPr>
        <w:t xml:space="preserve"> Madrid </w:t>
      </w:r>
      <w:r w:rsidR="001A160B">
        <w:rPr>
          <w:rFonts w:ascii="Open Sans" w:hAnsi="Open Sans" w:cs="Open Sans"/>
          <w:color w:val="000000"/>
        </w:rPr>
        <w:t xml:space="preserve">(-0,6%), </w:t>
      </w:r>
      <w:r w:rsidR="001A160B" w:rsidRPr="001A160B">
        <w:rPr>
          <w:rFonts w:ascii="Open Sans" w:hAnsi="Open Sans" w:cs="Open Sans"/>
          <w:color w:val="000000"/>
        </w:rPr>
        <w:t>Canarias</w:t>
      </w:r>
      <w:r w:rsidR="001A160B">
        <w:rPr>
          <w:rFonts w:ascii="Open Sans" w:hAnsi="Open Sans" w:cs="Open Sans"/>
          <w:color w:val="000000"/>
        </w:rPr>
        <w:t xml:space="preserve"> (-0,4%) y </w:t>
      </w:r>
      <w:r w:rsidR="001A160B" w:rsidRPr="001A160B">
        <w:rPr>
          <w:rFonts w:ascii="Open Sans" w:hAnsi="Open Sans" w:cs="Open Sans"/>
          <w:color w:val="000000"/>
        </w:rPr>
        <w:t xml:space="preserve">País Vasco </w:t>
      </w:r>
      <w:r w:rsidR="001A160B">
        <w:rPr>
          <w:rFonts w:ascii="Open Sans" w:hAnsi="Open Sans" w:cs="Open Sans"/>
          <w:color w:val="000000"/>
        </w:rPr>
        <w:t>(-0,4%).</w:t>
      </w:r>
    </w:p>
    <w:p w14:paraId="76FF374C" w14:textId="7FDE96FE" w:rsidR="00776F95" w:rsidRDefault="00776F95" w:rsidP="002C7B3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 w:rsidRPr="00753088">
        <w:rPr>
          <w:rFonts w:ascii="Open Sans" w:hAnsi="Open Sans" w:cs="Open Sans"/>
          <w:color w:val="000000"/>
        </w:rPr>
        <w:t xml:space="preserve">de segunda mano </w:t>
      </w:r>
      <w:r>
        <w:rPr>
          <w:rFonts w:ascii="Open Sans" w:hAnsi="Open Sans" w:cs="Open Sans"/>
          <w:color w:val="000000"/>
        </w:rPr>
        <w:t xml:space="preserve">más caras en España, </w:t>
      </w:r>
      <w:r w:rsidRPr="00467BFA">
        <w:rPr>
          <w:rFonts w:ascii="Open Sans" w:hAnsi="Open Sans" w:cs="Open Sans"/>
          <w:color w:val="000000"/>
        </w:rPr>
        <w:t>se encuentran Madrid</w:t>
      </w:r>
      <w:r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País Vasco,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los </w:t>
      </w:r>
      <w:r w:rsidRPr="002E03E2">
        <w:rPr>
          <w:rFonts w:ascii="Open Sans" w:hAnsi="Open Sans" w:cs="Open Sans"/>
          <w:color w:val="000000"/>
        </w:rPr>
        <w:t xml:space="preserve">precios </w:t>
      </w:r>
      <w:r>
        <w:rPr>
          <w:rFonts w:ascii="Open Sans" w:hAnsi="Open Sans" w:cs="Open Sans"/>
          <w:color w:val="000000"/>
        </w:rPr>
        <w:t>de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3.</w:t>
      </w:r>
      <w:r w:rsidR="00843E56">
        <w:rPr>
          <w:rFonts w:ascii="Open Sans" w:hAnsi="Open Sans" w:cs="Open Sans"/>
          <w:color w:val="000000"/>
        </w:rPr>
        <w:t>0</w:t>
      </w:r>
      <w:r w:rsidR="001A160B">
        <w:rPr>
          <w:rFonts w:ascii="Open Sans" w:hAnsi="Open Sans" w:cs="Open Sans"/>
          <w:color w:val="000000"/>
        </w:rPr>
        <w:t>46</w:t>
      </w:r>
      <w:r w:rsidR="00843E56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y los </w:t>
      </w:r>
      <w:r>
        <w:rPr>
          <w:rFonts w:ascii="Open Sans" w:hAnsi="Open Sans" w:cs="Open Sans"/>
          <w:color w:val="000000"/>
        </w:rPr>
        <w:t>2</w:t>
      </w:r>
      <w:r w:rsidR="002B6931">
        <w:rPr>
          <w:rFonts w:ascii="Open Sans" w:hAnsi="Open Sans" w:cs="Open Sans"/>
          <w:color w:val="000000"/>
        </w:rPr>
        <w:t>.</w:t>
      </w:r>
      <w:r w:rsidR="009C68DE">
        <w:rPr>
          <w:rFonts w:ascii="Open Sans" w:hAnsi="Open Sans" w:cs="Open Sans"/>
          <w:color w:val="000000"/>
        </w:rPr>
        <w:t>8</w:t>
      </w:r>
      <w:r w:rsidR="001A160B">
        <w:rPr>
          <w:rFonts w:ascii="Open Sans" w:hAnsi="Open Sans" w:cs="Open Sans"/>
          <w:color w:val="000000"/>
        </w:rPr>
        <w:t>77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respectivamente. Le siguen, </w:t>
      </w:r>
      <w:r w:rsidRPr="00776F95">
        <w:rPr>
          <w:rFonts w:ascii="Open Sans" w:hAnsi="Open Sans" w:cs="Open Sans"/>
          <w:color w:val="000000"/>
        </w:rPr>
        <w:t xml:space="preserve">Baleares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>
        <w:rPr>
          <w:rFonts w:ascii="Open Sans" w:hAnsi="Open Sans" w:cs="Open Sans"/>
          <w:color w:val="000000"/>
        </w:rPr>
        <w:t>2.</w:t>
      </w:r>
      <w:r w:rsidR="001A160B">
        <w:rPr>
          <w:rFonts w:ascii="Open Sans" w:hAnsi="Open Sans" w:cs="Open Sans"/>
          <w:color w:val="000000"/>
        </w:rPr>
        <w:t>805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Cataluña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2.4</w:t>
      </w:r>
      <w:r w:rsidR="001A160B">
        <w:rPr>
          <w:rFonts w:ascii="Open Sans" w:hAnsi="Open Sans" w:cs="Open Sans"/>
          <w:color w:val="000000"/>
        </w:rPr>
        <w:t>99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 w:rsidR="001A160B">
        <w:rPr>
          <w:rFonts w:ascii="Open Sans" w:hAnsi="Open Sans" w:cs="Open Sans"/>
          <w:color w:val="000000"/>
        </w:rPr>
        <w:t>44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1A160B" w:rsidRPr="00776F95">
        <w:rPr>
          <w:rFonts w:ascii="Open Sans" w:hAnsi="Open Sans" w:cs="Open Sans"/>
          <w:color w:val="000000"/>
        </w:rPr>
        <w:t xml:space="preserve">Cantabria </w:t>
      </w:r>
      <w:r w:rsidR="001A160B">
        <w:rPr>
          <w:rFonts w:ascii="Open Sans" w:hAnsi="Open Sans" w:cs="Open Sans"/>
          <w:color w:val="000000"/>
        </w:rPr>
        <w:t>con</w:t>
      </w:r>
      <w:r w:rsidR="001A160B"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740 euros/m</w:t>
      </w:r>
      <w:r w:rsidR="001A160B" w:rsidRPr="00FC4BCC">
        <w:rPr>
          <w:rFonts w:ascii="Open Sans" w:hAnsi="Open Sans" w:cs="Open Sans"/>
          <w:color w:val="000000"/>
          <w:vertAlign w:val="superscript"/>
        </w:rPr>
        <w:t>2</w:t>
      </w:r>
      <w:r w:rsidR="001A160B">
        <w:rPr>
          <w:rFonts w:ascii="Open Sans" w:hAnsi="Open Sans" w:cs="Open Sans"/>
          <w:color w:val="000000"/>
        </w:rPr>
        <w:t xml:space="preserve">, </w:t>
      </w:r>
      <w:r w:rsidR="00E45828" w:rsidRPr="00776F95">
        <w:rPr>
          <w:rFonts w:ascii="Open Sans" w:hAnsi="Open Sans" w:cs="Open Sans"/>
          <w:color w:val="000000"/>
        </w:rPr>
        <w:t>Navarra</w:t>
      </w:r>
      <w:r w:rsidR="00E4582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699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9C68DE" w:rsidRPr="00776F95">
        <w:rPr>
          <w:rFonts w:ascii="Open Sans" w:hAnsi="Open Sans" w:cs="Open Sans"/>
          <w:color w:val="000000"/>
        </w:rPr>
        <w:t xml:space="preserve">Andalucía </w:t>
      </w:r>
      <w:r w:rsidR="002B6931">
        <w:rPr>
          <w:rFonts w:ascii="Open Sans" w:hAnsi="Open Sans" w:cs="Open Sans"/>
          <w:color w:val="000000"/>
        </w:rPr>
        <w:t>con</w:t>
      </w:r>
      <w:r w:rsidR="002B6931"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6</w:t>
      </w:r>
      <w:r w:rsidR="00E030C6">
        <w:rPr>
          <w:rFonts w:ascii="Open Sans" w:hAnsi="Open Sans" w:cs="Open Sans"/>
          <w:color w:val="000000"/>
        </w:rPr>
        <w:t>4</w:t>
      </w:r>
      <w:r w:rsidR="001A160B">
        <w:rPr>
          <w:rFonts w:ascii="Open Sans" w:hAnsi="Open Sans" w:cs="Open Sans"/>
          <w:color w:val="000000"/>
        </w:rPr>
        <w:t>8</w:t>
      </w:r>
      <w:r w:rsidR="002B6931"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="002B6931" w:rsidRPr="00FC4BCC">
        <w:rPr>
          <w:rFonts w:ascii="Open Sans" w:hAnsi="Open Sans" w:cs="Open Sans"/>
          <w:color w:val="000000"/>
          <w:vertAlign w:val="superscript"/>
        </w:rPr>
        <w:t>2</w:t>
      </w:r>
      <w:r w:rsidR="002B6931" w:rsidRPr="002B6931">
        <w:rPr>
          <w:rFonts w:ascii="Open Sans" w:hAnsi="Open Sans" w:cs="Open Sans"/>
          <w:color w:val="000000"/>
        </w:rPr>
        <w:t xml:space="preserve">, </w:t>
      </w:r>
      <w:r w:rsidR="001A160B" w:rsidRPr="00776F95">
        <w:rPr>
          <w:rFonts w:ascii="Open Sans" w:hAnsi="Open Sans" w:cs="Open Sans"/>
          <w:color w:val="000000"/>
        </w:rPr>
        <w:t xml:space="preserve">Galicia </w:t>
      </w:r>
      <w:r w:rsidR="001A160B">
        <w:rPr>
          <w:rFonts w:ascii="Open Sans" w:hAnsi="Open Sans" w:cs="Open Sans"/>
          <w:color w:val="000000"/>
        </w:rPr>
        <w:t>con</w:t>
      </w:r>
      <w:r w:rsidR="001A160B" w:rsidRPr="00776F95">
        <w:rPr>
          <w:rFonts w:ascii="Open Sans" w:hAnsi="Open Sans" w:cs="Open Sans"/>
          <w:color w:val="000000"/>
        </w:rPr>
        <w:t xml:space="preserve"> 1.5</w:t>
      </w:r>
      <w:r w:rsidR="001A160B">
        <w:rPr>
          <w:rFonts w:ascii="Open Sans" w:hAnsi="Open Sans" w:cs="Open Sans"/>
          <w:color w:val="000000"/>
        </w:rPr>
        <w:t>77 euros/m</w:t>
      </w:r>
      <w:r w:rsidR="001A160B" w:rsidRPr="00FC4BCC">
        <w:rPr>
          <w:rFonts w:ascii="Open Sans" w:hAnsi="Open Sans" w:cs="Open Sans"/>
          <w:color w:val="000000"/>
          <w:vertAlign w:val="superscript"/>
        </w:rPr>
        <w:t>2</w:t>
      </w:r>
      <w:r w:rsidR="001A160B">
        <w:rPr>
          <w:rFonts w:ascii="Open Sans" w:hAnsi="Open Sans" w:cs="Open Sans"/>
          <w:color w:val="000000"/>
        </w:rPr>
        <w:t>,</w:t>
      </w:r>
      <w:r w:rsidR="001A160B" w:rsidRPr="00776F95">
        <w:rPr>
          <w:rFonts w:ascii="Open Sans" w:hAnsi="Open Sans" w:cs="Open Sans"/>
          <w:color w:val="000000"/>
        </w:rPr>
        <w:t xml:space="preserve"> </w:t>
      </w:r>
      <w:r w:rsidR="002B1D60" w:rsidRPr="00776F95">
        <w:rPr>
          <w:rFonts w:ascii="Open Sans" w:hAnsi="Open Sans" w:cs="Open Sans"/>
          <w:color w:val="000000"/>
        </w:rPr>
        <w:t xml:space="preserve">Asturias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5</w:t>
      </w:r>
      <w:r w:rsidR="001A160B">
        <w:rPr>
          <w:rFonts w:ascii="Open Sans" w:hAnsi="Open Sans" w:cs="Open Sans"/>
          <w:color w:val="000000"/>
        </w:rPr>
        <w:t>76</w:t>
      </w:r>
      <w:r w:rsidR="00E030C6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2B1D60" w:rsidRPr="00776F95">
        <w:rPr>
          <w:rFonts w:ascii="Open Sans" w:hAnsi="Open Sans" w:cs="Open Sans"/>
          <w:color w:val="000000"/>
        </w:rPr>
        <w:t xml:space="preserve">Aragón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 w:rsidR="001A160B">
        <w:rPr>
          <w:rFonts w:ascii="Open Sans" w:hAnsi="Open Sans" w:cs="Open Sans"/>
          <w:color w:val="000000"/>
        </w:rPr>
        <w:t>57</w:t>
      </w:r>
      <w:r w:rsidR="00B17F64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2B1D60" w:rsidRPr="00776F95">
        <w:rPr>
          <w:rFonts w:ascii="Open Sans" w:hAnsi="Open Sans" w:cs="Open Sans"/>
          <w:color w:val="000000"/>
        </w:rPr>
        <w:t xml:space="preserve">Comunitat Valenciana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1A160B">
        <w:rPr>
          <w:rFonts w:ascii="Open Sans" w:hAnsi="Open Sans" w:cs="Open Sans"/>
          <w:color w:val="000000"/>
        </w:rPr>
        <w:t>34</w:t>
      </w:r>
      <w:r w:rsidR="002B1D60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="00472BD0">
        <w:rPr>
          <w:rFonts w:ascii="Open Sans" w:hAnsi="Open Sans" w:cs="Open Sans"/>
          <w:color w:val="000000"/>
        </w:rPr>
        <w:t xml:space="preserve"> </w:t>
      </w:r>
      <w:r w:rsidR="002B1D60" w:rsidRPr="00776F95">
        <w:rPr>
          <w:rFonts w:ascii="Open Sans" w:hAnsi="Open Sans" w:cs="Open Sans"/>
          <w:color w:val="000000"/>
        </w:rPr>
        <w:t xml:space="preserve">Castilla y León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1A160B">
        <w:rPr>
          <w:rFonts w:ascii="Open Sans" w:hAnsi="Open Sans" w:cs="Open Sans"/>
          <w:color w:val="000000"/>
        </w:rPr>
        <w:t>20</w:t>
      </w:r>
      <w:r w:rsidR="009C68DE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 w:rsidRPr="00776F95">
        <w:rPr>
          <w:rFonts w:ascii="Open Sans" w:hAnsi="Open Sans" w:cs="Open Sans"/>
          <w:color w:val="000000"/>
        </w:rPr>
        <w:t xml:space="preserve">La Rioja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414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Región de Murcia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1.1</w:t>
      </w:r>
      <w:r w:rsidR="00694341">
        <w:rPr>
          <w:rFonts w:ascii="Open Sans" w:hAnsi="Open Sans" w:cs="Open Sans"/>
          <w:color w:val="000000"/>
        </w:rPr>
        <w:t>6</w:t>
      </w:r>
      <w:r w:rsidR="001A160B">
        <w:rPr>
          <w:rFonts w:ascii="Open Sans" w:hAnsi="Open Sans" w:cs="Open Sans"/>
          <w:color w:val="000000"/>
        </w:rPr>
        <w:t>4</w:t>
      </w:r>
      <w:r w:rsidR="00E030C6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="00472BD0"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E45828" w:rsidRPr="00776F95">
        <w:rPr>
          <w:rFonts w:ascii="Open Sans" w:hAnsi="Open Sans" w:cs="Open Sans"/>
          <w:color w:val="000000"/>
        </w:rPr>
        <w:t>Castilla-</w:t>
      </w:r>
      <w:r w:rsidR="001A160B" w:rsidRPr="001A160B">
        <w:rPr>
          <w:rFonts w:ascii="Open Sans" w:hAnsi="Open Sans" w:cs="Open Sans"/>
          <w:color w:val="000000"/>
        </w:rPr>
        <w:t xml:space="preserve"> </w:t>
      </w:r>
      <w:r w:rsidR="001A160B" w:rsidRPr="00776F95">
        <w:rPr>
          <w:rFonts w:ascii="Open Sans" w:hAnsi="Open Sans" w:cs="Open Sans"/>
          <w:color w:val="000000"/>
        </w:rPr>
        <w:t xml:space="preserve">Extremadura </w:t>
      </w:r>
      <w:r w:rsidR="001A160B">
        <w:rPr>
          <w:rFonts w:ascii="Open Sans" w:hAnsi="Open Sans" w:cs="Open Sans"/>
          <w:color w:val="000000"/>
        </w:rPr>
        <w:t>con</w:t>
      </w:r>
      <w:r w:rsidR="001A160B" w:rsidRPr="00776F95">
        <w:rPr>
          <w:rFonts w:ascii="Open Sans" w:hAnsi="Open Sans" w:cs="Open Sans"/>
          <w:color w:val="000000"/>
        </w:rPr>
        <w:t xml:space="preserve"> 1.</w:t>
      </w:r>
      <w:r w:rsidR="001A160B">
        <w:rPr>
          <w:rFonts w:ascii="Open Sans" w:hAnsi="Open Sans" w:cs="Open Sans"/>
          <w:color w:val="000000"/>
        </w:rPr>
        <w:t>149</w:t>
      </w:r>
      <w:r w:rsidR="001A160B" w:rsidRPr="00776F95">
        <w:rPr>
          <w:rFonts w:ascii="Open Sans" w:hAnsi="Open Sans" w:cs="Open Sans"/>
          <w:color w:val="000000"/>
        </w:rPr>
        <w:t xml:space="preserve"> </w:t>
      </w:r>
      <w:r w:rsidR="001A160B">
        <w:rPr>
          <w:rFonts w:ascii="Open Sans" w:hAnsi="Open Sans" w:cs="Open Sans"/>
          <w:color w:val="000000"/>
        </w:rPr>
        <w:t>euros/m</w:t>
      </w:r>
      <w:r w:rsidR="001A160B" w:rsidRPr="00FC4BCC">
        <w:rPr>
          <w:rFonts w:ascii="Open Sans" w:hAnsi="Open Sans" w:cs="Open Sans"/>
          <w:color w:val="000000"/>
          <w:vertAlign w:val="superscript"/>
        </w:rPr>
        <w:t>2</w:t>
      </w:r>
      <w:r w:rsidR="001A160B">
        <w:rPr>
          <w:rFonts w:ascii="Open Sans" w:hAnsi="Open Sans" w:cs="Open Sans"/>
          <w:color w:val="000000"/>
          <w:vertAlign w:val="superscript"/>
        </w:rPr>
        <w:t xml:space="preserve"> </w:t>
      </w:r>
      <w:r w:rsidR="001A160B">
        <w:rPr>
          <w:rFonts w:ascii="Open Sans" w:hAnsi="Open Sans" w:cs="Open Sans"/>
          <w:color w:val="000000"/>
        </w:rPr>
        <w:t xml:space="preserve">y </w:t>
      </w:r>
      <w:r w:rsidR="00E45828" w:rsidRPr="00776F95">
        <w:rPr>
          <w:rFonts w:ascii="Open Sans" w:hAnsi="Open Sans" w:cs="Open Sans"/>
          <w:color w:val="000000"/>
        </w:rPr>
        <w:t xml:space="preserve">La Mancha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1</w:t>
      </w:r>
      <w:r w:rsidR="001A160B">
        <w:rPr>
          <w:rFonts w:ascii="Open Sans" w:hAnsi="Open Sans" w:cs="Open Sans"/>
          <w:color w:val="000000"/>
        </w:rPr>
        <w:t>13</w:t>
      </w:r>
      <w:r w:rsidR="002B693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776F95">
        <w:rPr>
          <w:rFonts w:ascii="Open Sans" w:hAnsi="Open Sans" w:cs="Open Sans"/>
          <w:color w:val="000000"/>
        </w:rPr>
        <w:t xml:space="preserve">  </w:t>
      </w:r>
    </w:p>
    <w:p w14:paraId="0B4A6B90" w14:textId="2B37491B" w:rsidR="00FE756C" w:rsidRDefault="00FE756C" w:rsidP="002C7B33">
      <w:pPr>
        <w:pStyle w:val="NormalWeb"/>
        <w:shd w:val="clear" w:color="auto" w:fill="FFFFFF"/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8D2BF4" w:rsidRPr="0005182B" w14:paraId="485D3CA1" w14:textId="77777777" w:rsidTr="003B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7FF43BDC" w14:textId="034F6037" w:rsidR="008D2BF4" w:rsidRPr="0005182B" w:rsidRDefault="00AD1466" w:rsidP="002C7B33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57A95A4F" w14:textId="77777777" w:rsidR="008D2BF4" w:rsidRPr="0005182B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16FA7E6A" w14:textId="77777777" w:rsidR="008D2BF4" w:rsidRPr="0005182B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22D069B3" w14:textId="77777777" w:rsidR="008D2BF4" w:rsidRPr="0005182B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620A2C83" w14:textId="67689E73" w:rsidR="000F48F6" w:rsidRPr="0005182B" w:rsidRDefault="00374AF8" w:rsidP="00E14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BF3E84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.</w:t>
            </w:r>
            <w:r w:rsidR="000F48F6"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20</w:t>
            </w:r>
            <w:r w:rsidR="004F310E"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</w:t>
            </w:r>
          </w:p>
          <w:p w14:paraId="60AF83B9" w14:textId="6B6A6888" w:rsidR="008D2BF4" w:rsidRPr="0005182B" w:rsidRDefault="000F48F6" w:rsidP="00E14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</w:t>
            </w:r>
            <w:r w:rsidR="00F23A6E"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euros/m</w:t>
            </w:r>
            <w:r w:rsidRPr="0005182B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²)</w:t>
            </w:r>
          </w:p>
        </w:tc>
      </w:tr>
      <w:tr w:rsidR="00374AF8" w:rsidRPr="0005182B" w14:paraId="09B582FD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BEBBFF5" w14:textId="2633B9AA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5E30012E" w14:textId="10242C1C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2013" w:type="dxa"/>
            <w:vAlign w:val="bottom"/>
          </w:tcPr>
          <w:p w14:paraId="72AA201E" w14:textId="2580021E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98" w:type="dxa"/>
            <w:vAlign w:val="bottom"/>
          </w:tcPr>
          <w:p w14:paraId="039F1A02" w14:textId="599AC144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2.499 € </w:t>
            </w:r>
          </w:p>
        </w:tc>
      </w:tr>
      <w:tr w:rsidR="00374AF8" w:rsidRPr="0005182B" w14:paraId="47076A30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6EE999" w14:textId="5A688BB9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21044336" w14:textId="73DAF5D4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2,1 %</w:t>
            </w:r>
          </w:p>
        </w:tc>
        <w:tc>
          <w:tcPr>
            <w:tcW w:w="2013" w:type="dxa"/>
            <w:vAlign w:val="bottom"/>
          </w:tcPr>
          <w:p w14:paraId="3B934409" w14:textId="09A4159C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998" w:type="dxa"/>
            <w:vAlign w:val="bottom"/>
          </w:tcPr>
          <w:p w14:paraId="1BA5E9CF" w14:textId="79B85D1F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1.557 € </w:t>
            </w:r>
          </w:p>
        </w:tc>
      </w:tr>
      <w:tr w:rsidR="00374AF8" w:rsidRPr="0005182B" w14:paraId="5EB6D7E9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191ED" w14:textId="5FF01568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3FC7E672" w14:textId="33475B4C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2013" w:type="dxa"/>
            <w:vAlign w:val="bottom"/>
          </w:tcPr>
          <w:p w14:paraId="72E089D7" w14:textId="5E86939C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998" w:type="dxa"/>
            <w:vAlign w:val="bottom"/>
          </w:tcPr>
          <w:p w14:paraId="2B14F990" w14:textId="1CA128BF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1.149 € </w:t>
            </w:r>
          </w:p>
        </w:tc>
      </w:tr>
      <w:tr w:rsidR="00374AF8" w:rsidRPr="0005182B" w14:paraId="3B13B025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85F43E" w14:textId="6DF6D2C6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58F7A5E5" w14:textId="17216FBF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2013" w:type="dxa"/>
            <w:vAlign w:val="bottom"/>
          </w:tcPr>
          <w:p w14:paraId="2FA424F3" w14:textId="47CBBBB6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98" w:type="dxa"/>
            <w:vAlign w:val="bottom"/>
          </w:tcPr>
          <w:p w14:paraId="472A4130" w14:textId="6AC0272F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1.414 € </w:t>
            </w:r>
          </w:p>
        </w:tc>
      </w:tr>
      <w:tr w:rsidR="00374AF8" w:rsidRPr="0005182B" w14:paraId="73E327B1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594FE2" w14:textId="0854BD20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665A8623" w14:textId="3AB41B0E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2013" w:type="dxa"/>
            <w:vAlign w:val="bottom"/>
          </w:tcPr>
          <w:p w14:paraId="39D8E26E" w14:textId="5BCB73CD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98" w:type="dxa"/>
            <w:vAlign w:val="bottom"/>
          </w:tcPr>
          <w:p w14:paraId="50735726" w14:textId="3040E3C3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1.577 € </w:t>
            </w:r>
          </w:p>
        </w:tc>
      </w:tr>
      <w:tr w:rsidR="00374AF8" w:rsidRPr="0005182B" w14:paraId="040BFA58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7697CD" w14:textId="27909106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1CAA7FE5" w14:textId="0A1CAB9C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2013" w:type="dxa"/>
            <w:vAlign w:val="bottom"/>
          </w:tcPr>
          <w:p w14:paraId="53F947BC" w14:textId="0403722B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998" w:type="dxa"/>
            <w:vAlign w:val="bottom"/>
          </w:tcPr>
          <w:p w14:paraId="1D41E572" w14:textId="5CE74970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1.420 € </w:t>
            </w:r>
          </w:p>
        </w:tc>
      </w:tr>
      <w:tr w:rsidR="00374AF8" w:rsidRPr="0005182B" w14:paraId="57534E86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A8FB0B9" w14:textId="6FF67A35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2348" w:type="dxa"/>
            <w:vAlign w:val="bottom"/>
          </w:tcPr>
          <w:p w14:paraId="557B903C" w14:textId="0730D177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013" w:type="dxa"/>
            <w:vAlign w:val="bottom"/>
          </w:tcPr>
          <w:p w14:paraId="00591E46" w14:textId="1E385999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1998" w:type="dxa"/>
            <w:vAlign w:val="bottom"/>
          </w:tcPr>
          <w:p w14:paraId="75EB1A0D" w14:textId="05936A87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1.434 € </w:t>
            </w:r>
          </w:p>
        </w:tc>
      </w:tr>
      <w:tr w:rsidR="00374AF8" w:rsidRPr="0005182B" w14:paraId="22F5D23D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1F83ED3" w14:textId="71F589D2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1B8EFDD2" w14:textId="7DF5D6CE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2013" w:type="dxa"/>
            <w:vAlign w:val="bottom"/>
          </w:tcPr>
          <w:p w14:paraId="57AC1A9C" w14:textId="0AF067D5" w:rsidR="00374AF8" w:rsidRPr="00FC4B6D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998" w:type="dxa"/>
            <w:vAlign w:val="bottom"/>
          </w:tcPr>
          <w:p w14:paraId="0085AACB" w14:textId="25996DEC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2.805 € </w:t>
            </w:r>
          </w:p>
        </w:tc>
      </w:tr>
      <w:tr w:rsidR="00374AF8" w:rsidRPr="0005182B" w14:paraId="3BA2598E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B8F333F" w14:textId="089AD841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4FADC8FF" w14:textId="0799F19A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2013" w:type="dxa"/>
            <w:vAlign w:val="bottom"/>
          </w:tcPr>
          <w:p w14:paraId="5904BD58" w14:textId="3588585D" w:rsidR="00374AF8" w:rsidRPr="00FC4B6D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98" w:type="dxa"/>
            <w:vAlign w:val="bottom"/>
          </w:tcPr>
          <w:p w14:paraId="25E0C996" w14:textId="3D8D5971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1.576 € </w:t>
            </w:r>
          </w:p>
        </w:tc>
      </w:tr>
      <w:tr w:rsidR="00374AF8" w:rsidRPr="0005182B" w14:paraId="723BDD90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E528329" w14:textId="02876357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1E7EAF49" w14:textId="443FA561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013" w:type="dxa"/>
            <w:vAlign w:val="bottom"/>
          </w:tcPr>
          <w:p w14:paraId="7D1752DD" w14:textId="30EEC6EA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98" w:type="dxa"/>
            <w:vAlign w:val="bottom"/>
          </w:tcPr>
          <w:p w14:paraId="02D2F634" w14:textId="7751FAA2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1.648 € </w:t>
            </w:r>
          </w:p>
        </w:tc>
      </w:tr>
      <w:tr w:rsidR="00374AF8" w:rsidRPr="0005182B" w14:paraId="26FB16E0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AFD1C0" w14:textId="145C89FA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5D0EAE01" w14:textId="0582F3CF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013" w:type="dxa"/>
            <w:vAlign w:val="bottom"/>
          </w:tcPr>
          <w:p w14:paraId="173654ED" w14:textId="47D22786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998" w:type="dxa"/>
            <w:vAlign w:val="bottom"/>
          </w:tcPr>
          <w:p w14:paraId="1A64C58B" w14:textId="3AE501E7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1.164 € </w:t>
            </w:r>
          </w:p>
        </w:tc>
      </w:tr>
      <w:tr w:rsidR="00374AF8" w:rsidRPr="0005182B" w14:paraId="21379E25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9A95DC1" w14:textId="74769B7A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417E6870" w14:textId="7F7E5ABB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0,01 %</w:t>
            </w:r>
          </w:p>
        </w:tc>
        <w:tc>
          <w:tcPr>
            <w:tcW w:w="2013" w:type="dxa"/>
            <w:vAlign w:val="bottom"/>
          </w:tcPr>
          <w:p w14:paraId="29797ACA" w14:textId="198F3C5D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98" w:type="dxa"/>
            <w:vAlign w:val="bottom"/>
          </w:tcPr>
          <w:p w14:paraId="346852A7" w14:textId="14F90F86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1.740 € </w:t>
            </w:r>
          </w:p>
        </w:tc>
      </w:tr>
      <w:tr w:rsidR="00374AF8" w:rsidRPr="0005182B" w14:paraId="3B8F27F2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DBAC43C" w14:textId="3D054C29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310726FC" w14:textId="7CB54F23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13" w:type="dxa"/>
            <w:vAlign w:val="bottom"/>
          </w:tcPr>
          <w:p w14:paraId="7A6F6EAE" w14:textId="5D3F6FB4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998" w:type="dxa"/>
            <w:vAlign w:val="bottom"/>
          </w:tcPr>
          <w:p w14:paraId="1FF600F3" w14:textId="5CF1F7B3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2.877 € </w:t>
            </w:r>
          </w:p>
        </w:tc>
      </w:tr>
      <w:tr w:rsidR="00374AF8" w:rsidRPr="0005182B" w14:paraId="397C31D9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FC3531" w14:textId="466A2E1A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4F91A78A" w14:textId="42CAE720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13" w:type="dxa"/>
            <w:vAlign w:val="bottom"/>
          </w:tcPr>
          <w:p w14:paraId="21D53406" w14:textId="26A64DFB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998" w:type="dxa"/>
            <w:vAlign w:val="bottom"/>
          </w:tcPr>
          <w:p w14:paraId="0B398A52" w14:textId="46D0CF24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1.744 € </w:t>
            </w:r>
          </w:p>
        </w:tc>
      </w:tr>
      <w:tr w:rsidR="00374AF8" w:rsidRPr="0005182B" w14:paraId="51CA11A5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91254D" w14:textId="6BF52206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1750E227" w14:textId="0A0B83CA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013" w:type="dxa"/>
            <w:vAlign w:val="bottom"/>
          </w:tcPr>
          <w:p w14:paraId="1500AA4B" w14:textId="7B746FEB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998" w:type="dxa"/>
            <w:vAlign w:val="bottom"/>
          </w:tcPr>
          <w:p w14:paraId="5591B498" w14:textId="5B90419C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3.046 € </w:t>
            </w:r>
          </w:p>
        </w:tc>
      </w:tr>
      <w:tr w:rsidR="00374AF8" w:rsidRPr="0005182B" w14:paraId="3367902D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013CC65" w14:textId="1B003FCD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22951649" w14:textId="56159ED8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2013" w:type="dxa"/>
            <w:vAlign w:val="bottom"/>
          </w:tcPr>
          <w:p w14:paraId="4C84AEF5" w14:textId="1E69BA67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3,7 %</w:t>
            </w:r>
          </w:p>
        </w:tc>
        <w:tc>
          <w:tcPr>
            <w:tcW w:w="1998" w:type="dxa"/>
            <w:vAlign w:val="bottom"/>
          </w:tcPr>
          <w:p w14:paraId="1938CEF0" w14:textId="3B3C8D3A" w:rsidR="00374AF8" w:rsidRPr="0005182B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1.699 € </w:t>
            </w:r>
          </w:p>
        </w:tc>
      </w:tr>
      <w:tr w:rsidR="00374AF8" w:rsidRPr="0005182B" w14:paraId="1EE70406" w14:textId="77777777" w:rsidTr="0004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12D0A9" w14:textId="4DDE39D6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17DBB3B8" w14:textId="56A8E849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2013" w:type="dxa"/>
            <w:vAlign w:val="bottom"/>
          </w:tcPr>
          <w:p w14:paraId="628A68E4" w14:textId="519B39D7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998" w:type="dxa"/>
            <w:vAlign w:val="bottom"/>
          </w:tcPr>
          <w:p w14:paraId="72E6E4DE" w14:textId="0EE04AC9" w:rsidR="00374AF8" w:rsidRPr="0005182B" w:rsidRDefault="00374AF8" w:rsidP="00374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1.113 € </w:t>
            </w:r>
          </w:p>
        </w:tc>
      </w:tr>
      <w:tr w:rsidR="00374AF8" w:rsidRPr="0005182B" w14:paraId="554E3E34" w14:textId="77777777" w:rsidTr="00043E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F9218E6" w14:textId="630561D9" w:rsidR="00374AF8" w:rsidRPr="00374AF8" w:rsidRDefault="00374AF8" w:rsidP="00374AF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74AF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42D1E44E" w14:textId="61BCB909" w:rsidR="00374AF8" w:rsidRPr="00E148A2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013" w:type="dxa"/>
            <w:vAlign w:val="bottom"/>
          </w:tcPr>
          <w:p w14:paraId="09305962" w14:textId="2745410A" w:rsidR="00374AF8" w:rsidRPr="00E148A2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98" w:type="dxa"/>
            <w:vAlign w:val="bottom"/>
          </w:tcPr>
          <w:p w14:paraId="1EE1BE4C" w14:textId="4F00C488" w:rsidR="00374AF8" w:rsidRPr="00E148A2" w:rsidRDefault="00374AF8" w:rsidP="00374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1.877 € </w:t>
            </w:r>
          </w:p>
        </w:tc>
      </w:tr>
    </w:tbl>
    <w:p w14:paraId="4253A245" w14:textId="77777777" w:rsidR="008F2703" w:rsidRDefault="008F2703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6C7B4D94" w14:textId="6A9A2EEB" w:rsidR="001A160B" w:rsidRDefault="00075EA4" w:rsidP="001A160B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 de España</w:t>
      </w:r>
      <w:r w:rsidR="001A160B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</w:p>
    <w:p w14:paraId="3700EB53" w14:textId="4961E6D3" w:rsidR="005449FF" w:rsidRDefault="00FB5607" w:rsidP="005449FF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803EE5">
        <w:rPr>
          <w:rFonts w:ascii="Open Sans" w:hAnsi="Open Sans" w:cs="Open Sans"/>
          <w:color w:val="000000"/>
        </w:rPr>
        <w:t>el 6</w:t>
      </w:r>
      <w:r w:rsidR="005449FF">
        <w:rPr>
          <w:rFonts w:ascii="Open Sans" w:hAnsi="Open Sans" w:cs="Open Sans"/>
          <w:color w:val="000000"/>
        </w:rPr>
        <w:t>5</w:t>
      </w:r>
      <w:r w:rsidR="00803EE5">
        <w:rPr>
          <w:rFonts w:ascii="Open Sans" w:hAnsi="Open Sans" w:cs="Open Sans"/>
          <w:color w:val="000000"/>
        </w:rPr>
        <w:t xml:space="preserve">% </w:t>
      </w:r>
      <w:r w:rsidR="00197D6A">
        <w:rPr>
          <w:rFonts w:ascii="Open Sans" w:hAnsi="Open Sans" w:cs="Open Sans"/>
          <w:color w:val="000000"/>
        </w:rPr>
        <w:t>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3C2D34">
        <w:rPr>
          <w:rFonts w:ascii="Open Sans" w:hAnsi="Open Sans" w:cs="Open Sans"/>
          <w:color w:val="000000"/>
        </w:rPr>
        <w:t>5</w:t>
      </w:r>
      <w:r w:rsidR="00803EE5">
        <w:rPr>
          <w:rFonts w:ascii="Open Sans" w:hAnsi="Open Sans" w:cs="Open Sans"/>
          <w:color w:val="000000"/>
        </w:rPr>
        <w:t>2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803EE5">
        <w:rPr>
          <w:rFonts w:ascii="Open Sans" w:hAnsi="Open Sans" w:cs="Open Sans"/>
          <w:color w:val="000000"/>
        </w:rPr>
        <w:t xml:space="preserve">analizadas sube el </w:t>
      </w:r>
      <w:r w:rsidR="00DE1605" w:rsidRPr="00DB7E4F">
        <w:rPr>
          <w:rFonts w:ascii="Open Sans" w:hAnsi="Open Sans" w:cs="Open Sans"/>
          <w:color w:val="000000"/>
        </w:rPr>
        <w:t xml:space="preserve">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5449FF">
        <w:rPr>
          <w:rFonts w:ascii="Open Sans" w:hAnsi="Open Sans" w:cs="Open Sans"/>
          <w:color w:val="000000"/>
        </w:rPr>
        <w:t>noviembre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>La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provincia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con </w:t>
      </w:r>
      <w:r w:rsidR="005D142F">
        <w:rPr>
          <w:rFonts w:ascii="Open Sans" w:hAnsi="Open Sans" w:cs="Open Sans"/>
          <w:color w:val="000000"/>
        </w:rPr>
        <w:t xml:space="preserve">los diez primeros </w:t>
      </w:r>
      <w:r w:rsidR="00803EE5">
        <w:rPr>
          <w:rFonts w:ascii="Open Sans" w:hAnsi="Open Sans" w:cs="Open Sans"/>
          <w:color w:val="000000"/>
        </w:rPr>
        <w:t>incrementos</w:t>
      </w:r>
      <w:r w:rsidR="00D15EC8">
        <w:rPr>
          <w:rFonts w:ascii="Open Sans" w:hAnsi="Open Sans" w:cs="Open Sans"/>
          <w:color w:val="000000"/>
        </w:rPr>
        <w:t xml:space="preserve"> </w:t>
      </w:r>
      <w:r w:rsidR="005D142F">
        <w:rPr>
          <w:rFonts w:ascii="Open Sans" w:hAnsi="Open Sans" w:cs="Open Sans"/>
          <w:color w:val="000000"/>
        </w:rPr>
        <w:t xml:space="preserve">del ranking </w:t>
      </w:r>
      <w:r w:rsidR="00197D6A">
        <w:rPr>
          <w:rFonts w:ascii="Open Sans" w:hAnsi="Open Sans" w:cs="Open Sans"/>
          <w:color w:val="000000"/>
        </w:rPr>
        <w:t>son</w:t>
      </w:r>
      <w:r w:rsidR="00AD1466">
        <w:rPr>
          <w:rFonts w:ascii="Open Sans" w:hAnsi="Open Sans" w:cs="Open Sans"/>
          <w:color w:val="000000"/>
        </w:rPr>
        <w:t>:</w:t>
      </w:r>
      <w:r w:rsidR="00197D6A">
        <w:rPr>
          <w:rFonts w:ascii="Open Sans" w:hAnsi="Open Sans" w:cs="Open Sans"/>
          <w:color w:val="000000"/>
        </w:rPr>
        <w:t xml:space="preserve"> </w:t>
      </w:r>
      <w:r w:rsidR="005449FF" w:rsidRPr="005449FF">
        <w:rPr>
          <w:rFonts w:ascii="Open Sans" w:hAnsi="Open Sans" w:cs="Open Sans"/>
          <w:color w:val="000000"/>
        </w:rPr>
        <w:t>Zaragoza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(3,8%), </w:t>
      </w:r>
      <w:r w:rsidR="005449FF" w:rsidRPr="005449FF">
        <w:rPr>
          <w:rFonts w:ascii="Open Sans" w:hAnsi="Open Sans" w:cs="Open Sans"/>
          <w:color w:val="000000"/>
        </w:rPr>
        <w:t>Segovia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(3,1%), </w:t>
      </w:r>
      <w:r w:rsidR="005449FF" w:rsidRPr="005449FF">
        <w:rPr>
          <w:rFonts w:ascii="Open Sans" w:hAnsi="Open Sans" w:cs="Open Sans"/>
          <w:color w:val="000000"/>
        </w:rPr>
        <w:t>Cáceres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(2,2%), </w:t>
      </w:r>
      <w:r w:rsidR="005449FF" w:rsidRPr="005449FF">
        <w:rPr>
          <w:rFonts w:ascii="Open Sans" w:hAnsi="Open Sans" w:cs="Open Sans"/>
          <w:color w:val="000000"/>
        </w:rPr>
        <w:t>Barcelona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(2,1%), </w:t>
      </w:r>
      <w:r w:rsidR="005449FF" w:rsidRPr="005449FF">
        <w:rPr>
          <w:rFonts w:ascii="Open Sans" w:hAnsi="Open Sans" w:cs="Open Sans"/>
          <w:color w:val="000000"/>
        </w:rPr>
        <w:t>Badajoz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(1,6%), </w:t>
      </w:r>
      <w:r w:rsidR="005449FF" w:rsidRPr="005449FF">
        <w:rPr>
          <w:rFonts w:ascii="Open Sans" w:hAnsi="Open Sans" w:cs="Open Sans"/>
          <w:color w:val="000000"/>
        </w:rPr>
        <w:t>Castellón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(1,6%), </w:t>
      </w:r>
      <w:r w:rsidR="005449FF" w:rsidRPr="005449FF">
        <w:rPr>
          <w:rFonts w:ascii="Open Sans" w:hAnsi="Open Sans" w:cs="Open Sans"/>
          <w:color w:val="000000"/>
        </w:rPr>
        <w:t>Las Palmas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(1,5%), </w:t>
      </w:r>
      <w:r w:rsidR="005449FF" w:rsidRPr="005449FF">
        <w:rPr>
          <w:rFonts w:ascii="Open Sans" w:hAnsi="Open Sans" w:cs="Open Sans"/>
          <w:color w:val="000000"/>
        </w:rPr>
        <w:t>Granada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(1,5%), </w:t>
      </w:r>
      <w:r w:rsidR="005449FF" w:rsidRPr="005449FF">
        <w:rPr>
          <w:rFonts w:ascii="Open Sans" w:hAnsi="Open Sans" w:cs="Open Sans"/>
          <w:color w:val="000000"/>
        </w:rPr>
        <w:t>Lugo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(1,4%) y </w:t>
      </w:r>
      <w:r w:rsidR="005449FF" w:rsidRPr="005449FF">
        <w:rPr>
          <w:rFonts w:ascii="Open Sans" w:hAnsi="Open Sans" w:cs="Open Sans"/>
          <w:color w:val="000000"/>
        </w:rPr>
        <w:t>A Coruña</w:t>
      </w:r>
      <w:r w:rsidR="005449FF">
        <w:rPr>
          <w:rFonts w:ascii="Open Sans" w:hAnsi="Open Sans" w:cs="Open Sans"/>
          <w:color w:val="000000"/>
        </w:rPr>
        <w:t xml:space="preserve"> </w:t>
      </w:r>
      <w:r w:rsidR="005449F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5449FF">
        <w:rPr>
          <w:rFonts w:ascii="Open Sans" w:hAnsi="Open Sans" w:cs="Open Sans"/>
          <w:color w:val="000000"/>
        </w:rPr>
        <w:t xml:space="preserve">(1,4%). </w:t>
      </w:r>
      <w:r w:rsidR="00075EA4">
        <w:rPr>
          <w:rFonts w:ascii="Open Sans" w:hAnsi="Open Sans" w:cs="Open Sans"/>
          <w:color w:val="000000"/>
        </w:rPr>
        <w:t>P</w:t>
      </w:r>
      <w:r w:rsidR="00B23DF1">
        <w:rPr>
          <w:rFonts w:ascii="Open Sans" w:hAnsi="Open Sans" w:cs="Open Sans"/>
          <w:color w:val="000000"/>
        </w:rPr>
        <w:t xml:space="preserve">or otro lado, </w:t>
      </w:r>
      <w:r w:rsidR="00075EA4">
        <w:rPr>
          <w:rFonts w:ascii="Open Sans" w:hAnsi="Open Sans" w:cs="Open Sans"/>
          <w:color w:val="000000"/>
        </w:rPr>
        <w:t xml:space="preserve">los diez primeros </w:t>
      </w:r>
      <w:r w:rsidR="00803EE5">
        <w:rPr>
          <w:rFonts w:ascii="Open Sans" w:hAnsi="Open Sans" w:cs="Open Sans"/>
          <w:color w:val="000000"/>
        </w:rPr>
        <w:t>descensos</w:t>
      </w:r>
      <w:r w:rsidR="00075EA4">
        <w:rPr>
          <w:rFonts w:ascii="Open Sans" w:hAnsi="Open Sans" w:cs="Open Sans"/>
          <w:color w:val="000000"/>
        </w:rPr>
        <w:t xml:space="preserve"> </w:t>
      </w:r>
      <w:r w:rsidR="00C175F6">
        <w:rPr>
          <w:rFonts w:ascii="Open Sans" w:hAnsi="Open Sans" w:cs="Open Sans"/>
          <w:color w:val="000000"/>
        </w:rPr>
        <w:t xml:space="preserve">mensuales </w:t>
      </w:r>
      <w:r w:rsidR="00075EA4">
        <w:rPr>
          <w:rFonts w:ascii="Open Sans" w:hAnsi="Open Sans" w:cs="Open Sans"/>
          <w:color w:val="000000"/>
        </w:rPr>
        <w:t>son</w:t>
      </w:r>
      <w:r w:rsidR="00B23DF1">
        <w:rPr>
          <w:rFonts w:ascii="Open Sans" w:hAnsi="Open Sans" w:cs="Open Sans"/>
          <w:color w:val="000000"/>
        </w:rPr>
        <w:t xml:space="preserve">: </w:t>
      </w:r>
      <w:r w:rsidR="005449FF" w:rsidRPr="005449FF">
        <w:rPr>
          <w:rFonts w:ascii="Open Sans" w:hAnsi="Open Sans" w:cs="Open Sans"/>
          <w:color w:val="000000"/>
        </w:rPr>
        <w:t>Toledo</w:t>
      </w:r>
      <w:r w:rsidR="005449FF">
        <w:rPr>
          <w:rFonts w:ascii="Open Sans" w:hAnsi="Open Sans" w:cs="Open Sans"/>
          <w:color w:val="000000"/>
        </w:rPr>
        <w:t xml:space="preserve"> (-8,5%), </w:t>
      </w:r>
      <w:r w:rsidR="005449FF" w:rsidRPr="005449FF">
        <w:rPr>
          <w:rFonts w:ascii="Open Sans" w:hAnsi="Open Sans" w:cs="Open Sans"/>
          <w:color w:val="000000"/>
        </w:rPr>
        <w:t>Huesca</w:t>
      </w:r>
      <w:r w:rsidR="005449FF">
        <w:rPr>
          <w:rFonts w:ascii="Open Sans" w:hAnsi="Open Sans" w:cs="Open Sans"/>
          <w:color w:val="000000"/>
        </w:rPr>
        <w:t xml:space="preserve"> (-7,3%), </w:t>
      </w:r>
      <w:r w:rsidR="005449FF" w:rsidRPr="005449FF">
        <w:rPr>
          <w:rFonts w:ascii="Open Sans" w:hAnsi="Open Sans" w:cs="Open Sans"/>
          <w:color w:val="000000"/>
        </w:rPr>
        <w:t>Palencia</w:t>
      </w:r>
      <w:r w:rsidR="005449FF">
        <w:rPr>
          <w:rFonts w:ascii="Open Sans" w:hAnsi="Open Sans" w:cs="Open Sans"/>
          <w:color w:val="000000"/>
        </w:rPr>
        <w:t xml:space="preserve"> (-4,3%), </w:t>
      </w:r>
      <w:r w:rsidR="005449FF" w:rsidRPr="005449FF">
        <w:rPr>
          <w:rFonts w:ascii="Open Sans" w:hAnsi="Open Sans" w:cs="Open Sans"/>
          <w:color w:val="000000"/>
        </w:rPr>
        <w:t>Navarra</w:t>
      </w:r>
      <w:r w:rsidR="005449FF">
        <w:rPr>
          <w:rFonts w:ascii="Open Sans" w:hAnsi="Open Sans" w:cs="Open Sans"/>
          <w:color w:val="000000"/>
        </w:rPr>
        <w:t xml:space="preserve"> (-2,5%), </w:t>
      </w:r>
      <w:r w:rsidR="005449FF" w:rsidRPr="005449FF">
        <w:rPr>
          <w:rFonts w:ascii="Open Sans" w:hAnsi="Open Sans" w:cs="Open Sans"/>
          <w:color w:val="000000"/>
        </w:rPr>
        <w:t>Santa Cruz de Tenerife</w:t>
      </w:r>
      <w:r w:rsidR="005449FF">
        <w:rPr>
          <w:rFonts w:ascii="Open Sans" w:hAnsi="Open Sans" w:cs="Open Sans"/>
          <w:color w:val="000000"/>
        </w:rPr>
        <w:t xml:space="preserve"> (2,2-%), </w:t>
      </w:r>
      <w:r w:rsidR="005449FF" w:rsidRPr="005449FF">
        <w:rPr>
          <w:rFonts w:ascii="Open Sans" w:hAnsi="Open Sans" w:cs="Open Sans"/>
          <w:color w:val="000000"/>
        </w:rPr>
        <w:t>Ciudad Real</w:t>
      </w:r>
      <w:r w:rsidR="005449FF">
        <w:rPr>
          <w:rFonts w:ascii="Open Sans" w:hAnsi="Open Sans" w:cs="Open Sans"/>
          <w:color w:val="000000"/>
        </w:rPr>
        <w:t xml:space="preserve"> (-2,1%), </w:t>
      </w:r>
      <w:r w:rsidR="005449FF" w:rsidRPr="005449FF">
        <w:rPr>
          <w:rFonts w:ascii="Open Sans" w:hAnsi="Open Sans" w:cs="Open Sans"/>
          <w:color w:val="000000"/>
        </w:rPr>
        <w:t>Teruel</w:t>
      </w:r>
      <w:r w:rsidR="005449FF">
        <w:rPr>
          <w:rFonts w:ascii="Open Sans" w:hAnsi="Open Sans" w:cs="Open Sans"/>
          <w:color w:val="000000"/>
        </w:rPr>
        <w:t xml:space="preserve"> (-</w:t>
      </w:r>
      <w:r w:rsidR="00984A64">
        <w:rPr>
          <w:rFonts w:ascii="Open Sans" w:hAnsi="Open Sans" w:cs="Open Sans"/>
          <w:color w:val="000000"/>
        </w:rPr>
        <w:t>2</w:t>
      </w:r>
      <w:r w:rsidR="005449FF">
        <w:rPr>
          <w:rFonts w:ascii="Open Sans" w:hAnsi="Open Sans" w:cs="Open Sans"/>
          <w:color w:val="000000"/>
        </w:rPr>
        <w:t xml:space="preserve">%), </w:t>
      </w:r>
      <w:r w:rsidR="005449FF" w:rsidRPr="005449FF">
        <w:rPr>
          <w:rFonts w:ascii="Open Sans" w:hAnsi="Open Sans" w:cs="Open Sans"/>
          <w:color w:val="000000"/>
        </w:rPr>
        <w:t>Guadalajara</w:t>
      </w:r>
      <w:r w:rsidR="005449FF">
        <w:rPr>
          <w:rFonts w:ascii="Open Sans" w:hAnsi="Open Sans" w:cs="Open Sans"/>
          <w:color w:val="000000"/>
        </w:rPr>
        <w:t xml:space="preserve"> (-</w:t>
      </w:r>
      <w:r w:rsidR="00984A64">
        <w:rPr>
          <w:rFonts w:ascii="Open Sans" w:hAnsi="Open Sans" w:cs="Open Sans"/>
          <w:color w:val="000000"/>
        </w:rPr>
        <w:t>2</w:t>
      </w:r>
      <w:r w:rsidR="005449FF">
        <w:rPr>
          <w:rFonts w:ascii="Open Sans" w:hAnsi="Open Sans" w:cs="Open Sans"/>
          <w:color w:val="000000"/>
        </w:rPr>
        <w:t xml:space="preserve">%), </w:t>
      </w:r>
      <w:r w:rsidR="005449FF" w:rsidRPr="005449FF">
        <w:rPr>
          <w:rFonts w:ascii="Open Sans" w:hAnsi="Open Sans" w:cs="Open Sans"/>
          <w:color w:val="000000"/>
        </w:rPr>
        <w:t>Araba - Álava</w:t>
      </w:r>
      <w:r w:rsidR="005449FF">
        <w:rPr>
          <w:rFonts w:ascii="Open Sans" w:hAnsi="Open Sans" w:cs="Open Sans"/>
          <w:color w:val="000000"/>
        </w:rPr>
        <w:t xml:space="preserve"> (-</w:t>
      </w:r>
      <w:r w:rsidR="00984A64">
        <w:rPr>
          <w:rFonts w:ascii="Open Sans" w:hAnsi="Open Sans" w:cs="Open Sans"/>
          <w:color w:val="000000"/>
        </w:rPr>
        <w:t>1,7</w:t>
      </w:r>
      <w:r w:rsidR="005449FF">
        <w:rPr>
          <w:rFonts w:ascii="Open Sans" w:hAnsi="Open Sans" w:cs="Open Sans"/>
          <w:color w:val="000000"/>
        </w:rPr>
        <w:t xml:space="preserve">%) y </w:t>
      </w:r>
      <w:r w:rsidR="005449FF" w:rsidRPr="005449FF">
        <w:rPr>
          <w:rFonts w:ascii="Open Sans" w:hAnsi="Open Sans" w:cs="Open Sans"/>
          <w:color w:val="000000"/>
        </w:rPr>
        <w:t>Ceuta</w:t>
      </w:r>
      <w:r w:rsidR="005449FF">
        <w:rPr>
          <w:rFonts w:ascii="Open Sans" w:hAnsi="Open Sans" w:cs="Open Sans"/>
          <w:color w:val="000000"/>
        </w:rPr>
        <w:t xml:space="preserve"> (-</w:t>
      </w:r>
      <w:r w:rsidR="00984A64">
        <w:rPr>
          <w:rFonts w:ascii="Open Sans" w:hAnsi="Open Sans" w:cs="Open Sans"/>
          <w:color w:val="000000"/>
        </w:rPr>
        <w:t>1,6</w:t>
      </w:r>
      <w:r w:rsidR="005449FF">
        <w:rPr>
          <w:rFonts w:ascii="Open Sans" w:hAnsi="Open Sans" w:cs="Open Sans"/>
          <w:color w:val="000000"/>
        </w:rPr>
        <w:t>%).</w:t>
      </w:r>
    </w:p>
    <w:p w14:paraId="638D2B2E" w14:textId="77777777" w:rsidR="005449FF" w:rsidRDefault="005449FF" w:rsidP="00803EE5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5B063DC1" w14:textId="0A1647DB" w:rsidR="001B0D22" w:rsidRPr="00086538" w:rsidRDefault="00DE1605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</w:rPr>
      </w:pPr>
      <w:r w:rsidRPr="00086538">
        <w:rPr>
          <w:rFonts w:ascii="Open Sans" w:hAnsi="Open Sans" w:cs="Open Sans"/>
          <w:color w:val="000000"/>
        </w:rPr>
        <w:t xml:space="preserve">En cuanto a los precios, </w:t>
      </w:r>
      <w:r w:rsidR="00C175F6" w:rsidRPr="00086538">
        <w:rPr>
          <w:rFonts w:ascii="Open Sans" w:hAnsi="Open Sans" w:cs="Open Sans"/>
          <w:color w:val="000000"/>
        </w:rPr>
        <w:t xml:space="preserve">Gipuzkoa </w:t>
      </w:r>
      <w:r w:rsidRPr="00086538">
        <w:rPr>
          <w:rFonts w:ascii="Open Sans" w:hAnsi="Open Sans" w:cs="Open Sans"/>
          <w:color w:val="000000"/>
        </w:rPr>
        <w:t xml:space="preserve">es la provincia más cara </w:t>
      </w:r>
      <w:r w:rsidR="00B23DF1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3.</w:t>
      </w:r>
      <w:r w:rsidR="00375A22">
        <w:rPr>
          <w:rFonts w:ascii="Open Sans" w:hAnsi="Open Sans" w:cs="Open Sans"/>
          <w:color w:val="000000"/>
        </w:rPr>
        <w:t>207</w:t>
      </w:r>
      <w:r w:rsidR="007C1EC1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 xml:space="preserve">, seguida de </w:t>
      </w:r>
      <w:r w:rsidR="00C175F6" w:rsidRPr="00086538">
        <w:rPr>
          <w:rFonts w:ascii="Open Sans" w:hAnsi="Open Sans" w:cs="Open Sans"/>
          <w:color w:val="000000"/>
        </w:rPr>
        <w:t xml:space="preserve">Madrid </w:t>
      </w:r>
      <w:r w:rsidRPr="00086538">
        <w:rPr>
          <w:rFonts w:ascii="Open Sans" w:hAnsi="Open Sans" w:cs="Open Sans"/>
          <w:color w:val="000000"/>
        </w:rPr>
        <w:t>(</w:t>
      </w:r>
      <w:r w:rsidR="00086538">
        <w:rPr>
          <w:rFonts w:ascii="Open Sans" w:hAnsi="Open Sans" w:cs="Open Sans"/>
          <w:color w:val="000000"/>
        </w:rPr>
        <w:t>3.0</w:t>
      </w:r>
      <w:r w:rsidR="00375A22">
        <w:rPr>
          <w:rFonts w:ascii="Open Sans" w:hAnsi="Open Sans" w:cs="Open Sans"/>
          <w:color w:val="000000"/>
        </w:rPr>
        <w:t>46</w:t>
      </w:r>
      <w:r w:rsidR="00651A15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>)</w:t>
      </w:r>
      <w:r w:rsidR="003C2D34" w:rsidRPr="00086538">
        <w:rPr>
          <w:rFonts w:ascii="Open Sans" w:hAnsi="Open Sans" w:cs="Open Sans"/>
          <w:color w:val="000000"/>
        </w:rPr>
        <w:t xml:space="preserve"> y</w:t>
      </w:r>
      <w:r w:rsidRPr="00086538">
        <w:rPr>
          <w:rFonts w:ascii="Open Sans" w:hAnsi="Open Sans" w:cs="Open Sans"/>
          <w:color w:val="000000"/>
        </w:rPr>
        <w:t xml:space="preserve"> </w:t>
      </w:r>
      <w:r w:rsidR="002F6709" w:rsidRPr="00086538">
        <w:rPr>
          <w:rFonts w:ascii="Open Sans" w:hAnsi="Open Sans" w:cs="Open Sans"/>
          <w:color w:val="000000"/>
        </w:rPr>
        <w:t xml:space="preserve">Barcelona </w:t>
      </w:r>
      <w:r w:rsidRPr="00086538">
        <w:rPr>
          <w:rFonts w:ascii="Open Sans" w:hAnsi="Open Sans" w:cs="Open Sans"/>
          <w:color w:val="000000"/>
        </w:rPr>
        <w:t>(</w:t>
      </w:r>
      <w:r w:rsidR="00C175F6">
        <w:rPr>
          <w:rFonts w:ascii="Open Sans" w:hAnsi="Open Sans" w:cs="Open Sans"/>
          <w:color w:val="000000"/>
        </w:rPr>
        <w:t>2.9</w:t>
      </w:r>
      <w:r w:rsidR="00375A22">
        <w:rPr>
          <w:rFonts w:ascii="Open Sans" w:hAnsi="Open Sans" w:cs="Open Sans"/>
          <w:color w:val="000000"/>
        </w:rPr>
        <w:t>91</w:t>
      </w:r>
      <w:r w:rsidR="002F6709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 w:rsidRPr="00086538">
        <w:rPr>
          <w:rFonts w:ascii="Open Sans" w:hAnsi="Open Sans" w:cs="Open Sans"/>
          <w:color w:val="000000"/>
        </w:rPr>
        <w:t xml:space="preserve">), </w:t>
      </w:r>
      <w:r w:rsidR="003C2D34" w:rsidRPr="00086538">
        <w:rPr>
          <w:rFonts w:ascii="Open Sans" w:hAnsi="Open Sans" w:cs="Open Sans"/>
          <w:color w:val="000000"/>
        </w:rPr>
        <w:t>entre otras. Por otro lado, l</w:t>
      </w:r>
      <w:r w:rsidRPr="00086538">
        <w:rPr>
          <w:rFonts w:ascii="Open Sans" w:hAnsi="Open Sans" w:cs="Open Sans"/>
          <w:color w:val="000000"/>
        </w:rPr>
        <w:t>a</w:t>
      </w:r>
      <w:r w:rsidR="00375A22">
        <w:rPr>
          <w:rFonts w:ascii="Open Sans" w:hAnsi="Open Sans" w:cs="Open Sans"/>
          <w:color w:val="000000"/>
        </w:rPr>
        <w:t>s</w:t>
      </w:r>
      <w:r w:rsidRPr="00086538">
        <w:rPr>
          <w:rFonts w:ascii="Open Sans" w:hAnsi="Open Sans" w:cs="Open Sans"/>
          <w:color w:val="000000"/>
        </w:rPr>
        <w:t xml:space="preserve"> provincia</w:t>
      </w:r>
      <w:r w:rsidR="00375A22">
        <w:rPr>
          <w:rFonts w:ascii="Open Sans" w:hAnsi="Open Sans" w:cs="Open Sans"/>
          <w:color w:val="000000"/>
        </w:rPr>
        <w:t>s</w:t>
      </w:r>
      <w:r w:rsidR="00B23DF1">
        <w:rPr>
          <w:rFonts w:ascii="Open Sans" w:hAnsi="Open Sans" w:cs="Open Sans"/>
          <w:color w:val="000000"/>
        </w:rPr>
        <w:t xml:space="preserve"> con el precio por metro cuadrado por debajo de los 1.000</w:t>
      </w:r>
      <w:r w:rsidRPr="00086538">
        <w:rPr>
          <w:rFonts w:ascii="Open Sans" w:hAnsi="Open Sans" w:cs="Open Sans"/>
          <w:color w:val="000000"/>
        </w:rPr>
        <w:t xml:space="preserve"> </w:t>
      </w:r>
      <w:r w:rsidR="00B23DF1">
        <w:rPr>
          <w:rFonts w:ascii="Open Sans" w:hAnsi="Open Sans" w:cs="Open Sans"/>
          <w:color w:val="000000"/>
        </w:rPr>
        <w:t xml:space="preserve">euros </w:t>
      </w:r>
      <w:r w:rsidR="00375A22">
        <w:rPr>
          <w:rFonts w:ascii="Open Sans" w:hAnsi="Open Sans" w:cs="Open Sans"/>
          <w:color w:val="000000"/>
        </w:rPr>
        <w:t>son</w:t>
      </w:r>
      <w:r w:rsidR="00B23DF1">
        <w:rPr>
          <w:rFonts w:ascii="Open Sans" w:hAnsi="Open Sans" w:cs="Open Sans"/>
          <w:color w:val="000000"/>
        </w:rPr>
        <w:t xml:space="preserve"> </w:t>
      </w:r>
      <w:r w:rsidR="00375A22">
        <w:rPr>
          <w:rFonts w:ascii="Open Sans" w:hAnsi="Open Sans" w:cs="Open Sans"/>
          <w:color w:val="000000"/>
        </w:rPr>
        <w:t>Toledo</w:t>
      </w:r>
      <w:r w:rsidR="00843E56">
        <w:rPr>
          <w:rFonts w:ascii="Open Sans" w:hAnsi="Open Sans" w:cs="Open Sans"/>
          <w:color w:val="000000"/>
        </w:rPr>
        <w:t xml:space="preserve"> </w:t>
      </w:r>
      <w:r w:rsidR="00B23DF1">
        <w:rPr>
          <w:rFonts w:ascii="Open Sans" w:hAnsi="Open Sans" w:cs="Open Sans"/>
          <w:color w:val="000000"/>
        </w:rPr>
        <w:t>con 9</w:t>
      </w:r>
      <w:r w:rsidR="00375A22">
        <w:rPr>
          <w:rFonts w:ascii="Open Sans" w:hAnsi="Open Sans" w:cs="Open Sans"/>
          <w:color w:val="000000"/>
        </w:rPr>
        <w:t>6</w:t>
      </w:r>
      <w:r w:rsidR="00CB0C3C">
        <w:rPr>
          <w:rFonts w:ascii="Open Sans" w:hAnsi="Open Sans" w:cs="Open Sans"/>
          <w:color w:val="000000"/>
        </w:rPr>
        <w:t>1</w:t>
      </w:r>
      <w:r w:rsidR="00C175F6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375A22" w:rsidRPr="00375A22">
        <w:rPr>
          <w:rFonts w:ascii="Open Sans" w:hAnsi="Open Sans" w:cs="Open Sans"/>
          <w:color w:val="000000"/>
          <w:vertAlign w:val="superscript"/>
        </w:rPr>
        <w:t>2</w:t>
      </w:r>
      <w:r w:rsidR="00375A22">
        <w:rPr>
          <w:rFonts w:ascii="Open Sans" w:hAnsi="Open Sans" w:cs="Open Sans"/>
          <w:color w:val="000000"/>
          <w:vertAlign w:val="superscript"/>
        </w:rPr>
        <w:t xml:space="preserve"> </w:t>
      </w:r>
      <w:r w:rsidR="00375A22">
        <w:rPr>
          <w:rFonts w:ascii="Open Sans" w:hAnsi="Open Sans" w:cs="Open Sans"/>
          <w:color w:val="000000"/>
        </w:rPr>
        <w:t xml:space="preserve">y Ciudad Real con 969 </w:t>
      </w:r>
      <w:r w:rsidR="00375A22" w:rsidRPr="00086538">
        <w:rPr>
          <w:rFonts w:ascii="Open Sans" w:hAnsi="Open Sans" w:cs="Open Sans"/>
          <w:color w:val="000000"/>
        </w:rPr>
        <w:t>euros/m</w:t>
      </w:r>
      <w:r w:rsidR="00375A22" w:rsidRPr="00375A22">
        <w:rPr>
          <w:rFonts w:ascii="Open Sans" w:hAnsi="Open Sans" w:cs="Open Sans"/>
          <w:color w:val="000000"/>
          <w:vertAlign w:val="superscript"/>
        </w:rPr>
        <w:t>2</w:t>
      </w:r>
      <w:r w:rsidR="00B23DF1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1856"/>
      </w:tblGrid>
      <w:tr w:rsidR="004D3A34" w:rsidRPr="00E40AF9" w14:paraId="23E1213E" w14:textId="77777777" w:rsidTr="00664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1FD07E" w14:textId="0AE523CA" w:rsidR="004D3A34" w:rsidRPr="006829D1" w:rsidRDefault="00197D6A" w:rsidP="002C7B33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4A8E5308" w14:textId="77777777" w:rsidR="004D3A34" w:rsidRPr="006829D1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6829D1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7" w:type="dxa"/>
            <w:vAlign w:val="center"/>
          </w:tcPr>
          <w:p w14:paraId="0DBEC753" w14:textId="77777777" w:rsidR="004D3A34" w:rsidRPr="006829D1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115FCCA3" w14:textId="2839A3F4" w:rsidR="000F48F6" w:rsidRPr="006829D1" w:rsidRDefault="00BD05D7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BF3E84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. </w:t>
            </w:r>
            <w:r w:rsidR="005D142F"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2020</w:t>
            </w:r>
          </w:p>
          <w:p w14:paraId="493F7E67" w14:textId="5F184157" w:rsidR="004D3A34" w:rsidRPr="006829D1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</w:t>
            </w:r>
            <w:r w:rsidR="00F23A6E"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euros/m</w:t>
            </w:r>
            <w:r w:rsidRPr="006829D1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²)</w:t>
            </w:r>
          </w:p>
        </w:tc>
      </w:tr>
      <w:tr w:rsidR="00BD05D7" w:rsidRPr="00E40AF9" w14:paraId="2C697AE3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80A18B6" w14:textId="6CD4E60F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2662BA36" w14:textId="008B03C6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2127" w:type="dxa"/>
            <w:vAlign w:val="bottom"/>
          </w:tcPr>
          <w:p w14:paraId="348E7705" w14:textId="10E5AF37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856" w:type="dxa"/>
            <w:vAlign w:val="bottom"/>
          </w:tcPr>
          <w:p w14:paraId="5878C6A5" w14:textId="585BA136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1.645 €</w:t>
            </w:r>
          </w:p>
        </w:tc>
      </w:tr>
      <w:tr w:rsidR="00BD05D7" w:rsidRPr="00E40AF9" w14:paraId="6F87EFC4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659C3339" w14:textId="691B09CC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34660CF7" w14:textId="73F55A97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3,1 %</w:t>
            </w:r>
          </w:p>
        </w:tc>
        <w:tc>
          <w:tcPr>
            <w:tcW w:w="2127" w:type="dxa"/>
            <w:vAlign w:val="bottom"/>
          </w:tcPr>
          <w:p w14:paraId="4A0C31DA" w14:textId="11F7267F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856" w:type="dxa"/>
            <w:vAlign w:val="bottom"/>
          </w:tcPr>
          <w:p w14:paraId="50E15508" w14:textId="3453B8E6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1.320 €</w:t>
            </w:r>
          </w:p>
        </w:tc>
      </w:tr>
      <w:tr w:rsidR="00BD05D7" w:rsidRPr="00E40AF9" w14:paraId="2CDFC975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7312746" w14:textId="24808959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73BC8C28" w14:textId="1B22D432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2127" w:type="dxa"/>
            <w:vAlign w:val="bottom"/>
          </w:tcPr>
          <w:p w14:paraId="2359D1AB" w14:textId="248624C2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56" w:type="dxa"/>
            <w:vAlign w:val="bottom"/>
          </w:tcPr>
          <w:p w14:paraId="47CD5FC4" w14:textId="2BE63063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1.131 €</w:t>
            </w:r>
          </w:p>
        </w:tc>
      </w:tr>
      <w:tr w:rsidR="00BD05D7" w:rsidRPr="00E40AF9" w14:paraId="708FE770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0404C85" w14:textId="19DBE0C6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5DC45AF0" w14:textId="3F768C52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2,1 %</w:t>
            </w:r>
          </w:p>
        </w:tc>
        <w:tc>
          <w:tcPr>
            <w:tcW w:w="2127" w:type="dxa"/>
            <w:vAlign w:val="bottom"/>
          </w:tcPr>
          <w:p w14:paraId="50E1941C" w14:textId="7B16BE99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56" w:type="dxa"/>
            <w:vAlign w:val="bottom"/>
          </w:tcPr>
          <w:p w14:paraId="78FBD7BA" w14:textId="44412E7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2.991 €</w:t>
            </w:r>
          </w:p>
        </w:tc>
      </w:tr>
      <w:tr w:rsidR="00BD05D7" w:rsidRPr="00E40AF9" w14:paraId="1A424006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BAEB10B" w14:textId="07AEB2A9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57CAC87D" w14:textId="7C8D22F0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2127" w:type="dxa"/>
            <w:vAlign w:val="bottom"/>
          </w:tcPr>
          <w:p w14:paraId="197A46EB" w14:textId="1D64C50A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6,9 %</w:t>
            </w:r>
          </w:p>
        </w:tc>
        <w:tc>
          <w:tcPr>
            <w:tcW w:w="1856" w:type="dxa"/>
            <w:vAlign w:val="bottom"/>
          </w:tcPr>
          <w:p w14:paraId="02FF613E" w14:textId="2228EE2A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1.157 €</w:t>
            </w:r>
          </w:p>
        </w:tc>
      </w:tr>
      <w:tr w:rsidR="00BD05D7" w:rsidRPr="00E40AF9" w14:paraId="3F8EAEE0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A9ED802" w14:textId="6DBDDDF0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3AD1AD8D" w14:textId="7F415901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2127" w:type="dxa"/>
            <w:vAlign w:val="bottom"/>
          </w:tcPr>
          <w:p w14:paraId="18FBD88F" w14:textId="724F1E52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856" w:type="dxa"/>
            <w:vAlign w:val="bottom"/>
          </w:tcPr>
          <w:p w14:paraId="10AFB3BA" w14:textId="61708160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1.100 €</w:t>
            </w:r>
          </w:p>
        </w:tc>
      </w:tr>
      <w:tr w:rsidR="00BD05D7" w:rsidRPr="00E40AF9" w14:paraId="4CBBC9D8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FD7AC14" w14:textId="784F9F25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6FF159E6" w14:textId="3C60B8E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2127" w:type="dxa"/>
            <w:vAlign w:val="bottom"/>
          </w:tcPr>
          <w:p w14:paraId="1912B635" w14:textId="3677A72D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856" w:type="dxa"/>
            <w:vAlign w:val="bottom"/>
          </w:tcPr>
          <w:p w14:paraId="7DE4C739" w14:textId="53CE565E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1.756 €</w:t>
            </w:r>
          </w:p>
        </w:tc>
      </w:tr>
      <w:tr w:rsidR="00BD05D7" w:rsidRPr="00E40AF9" w14:paraId="6AA7B483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B3B5249" w14:textId="0DADACD5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0DD0AD2A" w14:textId="0D7534CF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2127" w:type="dxa"/>
            <w:vAlign w:val="bottom"/>
          </w:tcPr>
          <w:p w14:paraId="198FD44A" w14:textId="5F1DE3D9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856" w:type="dxa"/>
            <w:vAlign w:val="bottom"/>
          </w:tcPr>
          <w:p w14:paraId="3DCFDEEB" w14:textId="42D4F37A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1.553 €</w:t>
            </w:r>
          </w:p>
        </w:tc>
      </w:tr>
      <w:tr w:rsidR="00BD05D7" w:rsidRPr="00E40AF9" w14:paraId="537ED15D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EC4E8F2" w14:textId="63E42D15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23296036" w14:textId="57A31F9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2127" w:type="dxa"/>
            <w:vAlign w:val="bottom"/>
          </w:tcPr>
          <w:p w14:paraId="055CB85C" w14:textId="312D3231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56" w:type="dxa"/>
            <w:vAlign w:val="bottom"/>
          </w:tcPr>
          <w:p w14:paraId="51195280" w14:textId="0F16FD74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1.087 €</w:t>
            </w:r>
          </w:p>
        </w:tc>
      </w:tr>
      <w:tr w:rsidR="00BD05D7" w:rsidRPr="00E40AF9" w14:paraId="2D2D2DC4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332C6F5" w14:textId="476D96A7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0E078D9B" w14:textId="37E8629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2127" w:type="dxa"/>
            <w:vAlign w:val="bottom"/>
          </w:tcPr>
          <w:p w14:paraId="52D03CAA" w14:textId="65735F4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856" w:type="dxa"/>
            <w:vAlign w:val="bottom"/>
          </w:tcPr>
          <w:p w14:paraId="19B418EE" w14:textId="01C93C48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1.592 €</w:t>
            </w:r>
          </w:p>
        </w:tc>
      </w:tr>
      <w:tr w:rsidR="00BD05D7" w:rsidRPr="00E40AF9" w14:paraId="2BB0B35C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06C710D" w14:textId="7D0E1CDA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1B39E853" w14:textId="40AD3938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2127" w:type="dxa"/>
            <w:vAlign w:val="bottom"/>
          </w:tcPr>
          <w:p w14:paraId="17928183" w14:textId="49BA5365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856" w:type="dxa"/>
            <w:vAlign w:val="bottom"/>
          </w:tcPr>
          <w:p w14:paraId="6A7F2B65" w14:textId="29B60022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1.547 €</w:t>
            </w:r>
          </w:p>
        </w:tc>
      </w:tr>
      <w:tr w:rsidR="00BD05D7" w:rsidRPr="00E40AF9" w14:paraId="2F8AEE29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4DD98F4" w14:textId="42538487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34419BE3" w14:textId="7B31CAF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2127" w:type="dxa"/>
            <w:vAlign w:val="bottom"/>
          </w:tcPr>
          <w:p w14:paraId="540625BC" w14:textId="3087FBFD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856" w:type="dxa"/>
            <w:vAlign w:val="bottom"/>
          </w:tcPr>
          <w:p w14:paraId="0AE28813" w14:textId="3412A586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1.414 €</w:t>
            </w:r>
          </w:p>
        </w:tc>
      </w:tr>
      <w:tr w:rsidR="00BD05D7" w:rsidRPr="00E40AF9" w14:paraId="0ACA915B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FDF69A4" w14:textId="1579CB90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38E4B51C" w14:textId="478BB959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2127" w:type="dxa"/>
            <w:vAlign w:val="bottom"/>
          </w:tcPr>
          <w:p w14:paraId="3904C8D1" w14:textId="3136E3B6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56" w:type="dxa"/>
            <w:vAlign w:val="bottom"/>
          </w:tcPr>
          <w:p w14:paraId="0798C502" w14:textId="18590017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1.013 €</w:t>
            </w:r>
          </w:p>
        </w:tc>
      </w:tr>
      <w:tr w:rsidR="00BD05D7" w:rsidRPr="00E40AF9" w14:paraId="13AB1809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1837094E" w14:textId="4C1808FE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126CC67D" w14:textId="7139A743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2127" w:type="dxa"/>
            <w:vAlign w:val="bottom"/>
          </w:tcPr>
          <w:p w14:paraId="72075205" w14:textId="6DE1A35C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856" w:type="dxa"/>
            <w:vAlign w:val="bottom"/>
          </w:tcPr>
          <w:p w14:paraId="1DE274E4" w14:textId="29520394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1.598 €</w:t>
            </w:r>
          </w:p>
        </w:tc>
      </w:tr>
      <w:tr w:rsidR="00BD05D7" w:rsidRPr="00E40AF9" w14:paraId="0B3A2A16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5C5D681" w14:textId="7E3B096A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31C2E669" w14:textId="65E82F49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27" w:type="dxa"/>
            <w:vAlign w:val="bottom"/>
          </w:tcPr>
          <w:p w14:paraId="1D0E11EE" w14:textId="7ED6C93F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6,1 %</w:t>
            </w:r>
          </w:p>
        </w:tc>
        <w:tc>
          <w:tcPr>
            <w:tcW w:w="1856" w:type="dxa"/>
            <w:vAlign w:val="bottom"/>
          </w:tcPr>
          <w:p w14:paraId="3FD28B63" w14:textId="6069C12F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3.207 €</w:t>
            </w:r>
          </w:p>
        </w:tc>
      </w:tr>
      <w:tr w:rsidR="00BD05D7" w:rsidRPr="00E40AF9" w14:paraId="49721A9C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16D4EA8" w14:textId="24EC9CFD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696F5381" w14:textId="67A9FAA7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27" w:type="dxa"/>
            <w:vAlign w:val="bottom"/>
          </w:tcPr>
          <w:p w14:paraId="6EE358D9" w14:textId="04235D9C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56" w:type="dxa"/>
            <w:vAlign w:val="bottom"/>
          </w:tcPr>
          <w:p w14:paraId="22D466A2" w14:textId="2BE9929F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1.315 €</w:t>
            </w:r>
          </w:p>
        </w:tc>
      </w:tr>
      <w:tr w:rsidR="00BD05D7" w:rsidRPr="00E40AF9" w14:paraId="189B1FF2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973B0A2" w14:textId="15BE5317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León</w:t>
            </w:r>
          </w:p>
        </w:tc>
        <w:tc>
          <w:tcPr>
            <w:tcW w:w="2268" w:type="dxa"/>
            <w:vAlign w:val="bottom"/>
          </w:tcPr>
          <w:p w14:paraId="264C0827" w14:textId="12E2F1D7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27" w:type="dxa"/>
            <w:vAlign w:val="bottom"/>
          </w:tcPr>
          <w:p w14:paraId="4DE176B7" w14:textId="53A3C71D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1856" w:type="dxa"/>
            <w:vAlign w:val="bottom"/>
          </w:tcPr>
          <w:p w14:paraId="5D942D4F" w14:textId="3D5EB9A6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1.231 €</w:t>
            </w:r>
          </w:p>
        </w:tc>
      </w:tr>
      <w:tr w:rsidR="00BD05D7" w:rsidRPr="00E40AF9" w14:paraId="152146CB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12253E24" w14:textId="594F6CC3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39CD9989" w14:textId="0AB06FEA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27" w:type="dxa"/>
            <w:vAlign w:val="bottom"/>
          </w:tcPr>
          <w:p w14:paraId="1F87E7ED" w14:textId="0B7031B0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56" w:type="dxa"/>
            <w:vAlign w:val="bottom"/>
          </w:tcPr>
          <w:p w14:paraId="3BD929B1" w14:textId="386AF830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1.469 €</w:t>
            </w:r>
          </w:p>
        </w:tc>
      </w:tr>
      <w:tr w:rsidR="00BD05D7" w:rsidRPr="00E40AF9" w14:paraId="0CF53C35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641BDD2" w14:textId="12B3E707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431BE9BF" w14:textId="217B6A2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2127" w:type="dxa"/>
            <w:vAlign w:val="bottom"/>
          </w:tcPr>
          <w:p w14:paraId="20E310AA" w14:textId="471B2B33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856" w:type="dxa"/>
            <w:vAlign w:val="bottom"/>
          </w:tcPr>
          <w:p w14:paraId="42032026" w14:textId="38C2A4B5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1.454 €</w:t>
            </w:r>
          </w:p>
        </w:tc>
      </w:tr>
      <w:tr w:rsidR="00BD05D7" w:rsidRPr="00E40AF9" w14:paraId="77D32AF3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7136E08" w14:textId="52D6564F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7F710C42" w14:textId="75B3210A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2127" w:type="dxa"/>
            <w:vAlign w:val="bottom"/>
          </w:tcPr>
          <w:p w14:paraId="2EF03AA3" w14:textId="5DA0773F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856" w:type="dxa"/>
            <w:vAlign w:val="bottom"/>
          </w:tcPr>
          <w:p w14:paraId="51064007" w14:textId="04EAEFE6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2.805 €</w:t>
            </w:r>
          </w:p>
        </w:tc>
      </w:tr>
      <w:tr w:rsidR="00BD05D7" w:rsidRPr="00E40AF9" w14:paraId="0693211F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B23A762" w14:textId="0DFB6194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21D9453A" w14:textId="08A25961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2127" w:type="dxa"/>
            <w:vAlign w:val="bottom"/>
          </w:tcPr>
          <w:p w14:paraId="274187D5" w14:textId="0966E80D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856" w:type="dxa"/>
            <w:vAlign w:val="bottom"/>
          </w:tcPr>
          <w:p w14:paraId="1804ADFA" w14:textId="1AF71088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1.576 €</w:t>
            </w:r>
          </w:p>
        </w:tc>
      </w:tr>
      <w:tr w:rsidR="00BD05D7" w:rsidRPr="00E40AF9" w14:paraId="028B96DF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56A58CF" w14:textId="12C831D9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6BDDE007" w14:textId="117A910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2127" w:type="dxa"/>
            <w:vAlign w:val="bottom"/>
          </w:tcPr>
          <w:p w14:paraId="39E85CC9" w14:textId="784C852D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3,1 %</w:t>
            </w:r>
          </w:p>
        </w:tc>
        <w:tc>
          <w:tcPr>
            <w:tcW w:w="1856" w:type="dxa"/>
            <w:vAlign w:val="bottom"/>
          </w:tcPr>
          <w:p w14:paraId="223C68C2" w14:textId="618F086D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1.748 €</w:t>
            </w:r>
          </w:p>
        </w:tc>
      </w:tr>
      <w:tr w:rsidR="00BD05D7" w:rsidRPr="00E40AF9" w14:paraId="0A9FA633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027ABEC" w14:textId="4B203A26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4CFB5E71" w14:textId="0912D0A7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27" w:type="dxa"/>
            <w:vAlign w:val="bottom"/>
          </w:tcPr>
          <w:p w14:paraId="6263007F" w14:textId="4287B855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1856" w:type="dxa"/>
            <w:vAlign w:val="bottom"/>
          </w:tcPr>
          <w:p w14:paraId="0B16F41D" w14:textId="78D1FCB6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1.674 €</w:t>
            </w:r>
          </w:p>
        </w:tc>
      </w:tr>
      <w:tr w:rsidR="00BD05D7" w:rsidRPr="00E40AF9" w14:paraId="5129DF0A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9B7A5B4" w14:textId="3C872CED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055CC68E" w14:textId="76C07EC8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27" w:type="dxa"/>
            <w:vAlign w:val="bottom"/>
          </w:tcPr>
          <w:p w14:paraId="5339F918" w14:textId="3416AE73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1856" w:type="dxa"/>
            <w:vAlign w:val="bottom"/>
          </w:tcPr>
          <w:p w14:paraId="721600CE" w14:textId="5AAD69AC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1.246 €</w:t>
            </w:r>
          </w:p>
        </w:tc>
      </w:tr>
      <w:tr w:rsidR="00BD05D7" w:rsidRPr="00E40AF9" w14:paraId="6A57A0A1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E5E5461" w14:textId="503C51B4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13D7ED99" w14:textId="5616E5ED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27" w:type="dxa"/>
            <w:vAlign w:val="bottom"/>
          </w:tcPr>
          <w:p w14:paraId="5DC2D0AF" w14:textId="4128DA50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856" w:type="dxa"/>
            <w:vAlign w:val="bottom"/>
          </w:tcPr>
          <w:p w14:paraId="15CCBC11" w14:textId="470BCA9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1.164 €</w:t>
            </w:r>
          </w:p>
        </w:tc>
      </w:tr>
      <w:tr w:rsidR="00BD05D7" w:rsidRPr="00E40AF9" w14:paraId="1D52106A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EBA3321" w14:textId="5766F059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08484F62" w14:textId="1B23B5E9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27" w:type="dxa"/>
            <w:vAlign w:val="bottom"/>
          </w:tcPr>
          <w:p w14:paraId="591A26A3" w14:textId="46E2F2BF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856" w:type="dxa"/>
            <w:vAlign w:val="bottom"/>
          </w:tcPr>
          <w:p w14:paraId="5B49125B" w14:textId="021F5D49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1.973 €</w:t>
            </w:r>
          </w:p>
        </w:tc>
      </w:tr>
      <w:tr w:rsidR="00BD05D7" w:rsidRPr="00E40AF9" w14:paraId="24E420C1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4D3B2FA" w14:textId="05BF0967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0885EBD4" w14:textId="667D3CA4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7" w:type="dxa"/>
            <w:vAlign w:val="bottom"/>
          </w:tcPr>
          <w:p w14:paraId="14B4D0AD" w14:textId="3C37F95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856" w:type="dxa"/>
            <w:vAlign w:val="bottom"/>
          </w:tcPr>
          <w:p w14:paraId="77B63A36" w14:textId="2ABFDEC0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1.432 €</w:t>
            </w:r>
          </w:p>
        </w:tc>
      </w:tr>
      <w:tr w:rsidR="00BD05D7" w:rsidRPr="00E40AF9" w14:paraId="26F7D36D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EC95EC2" w14:textId="63C91CDD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6E451FBA" w14:textId="43E11785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7" w:type="dxa"/>
            <w:vAlign w:val="bottom"/>
          </w:tcPr>
          <w:p w14:paraId="6CDF07F2" w14:textId="76BD8310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0,0 %</w:t>
            </w:r>
          </w:p>
        </w:tc>
        <w:tc>
          <w:tcPr>
            <w:tcW w:w="1856" w:type="dxa"/>
            <w:vAlign w:val="bottom"/>
          </w:tcPr>
          <w:p w14:paraId="4340C5FA" w14:textId="003929A0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2.260 €</w:t>
            </w:r>
          </w:p>
        </w:tc>
      </w:tr>
      <w:tr w:rsidR="00BD05D7" w:rsidRPr="00E40AF9" w14:paraId="0888523E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0C76BAA4" w14:textId="06BCD38E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41E2E857" w14:textId="17B731F3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7" w:type="dxa"/>
            <w:vAlign w:val="bottom"/>
          </w:tcPr>
          <w:p w14:paraId="38F82560" w14:textId="329CA7EF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-4,8 %</w:t>
            </w:r>
          </w:p>
        </w:tc>
        <w:tc>
          <w:tcPr>
            <w:tcW w:w="1856" w:type="dxa"/>
            <w:vAlign w:val="bottom"/>
          </w:tcPr>
          <w:p w14:paraId="22BEB090" w14:textId="61B0CF84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1.428 €</w:t>
            </w:r>
          </w:p>
        </w:tc>
      </w:tr>
      <w:tr w:rsidR="00BD05D7" w:rsidRPr="00E40AF9" w14:paraId="334B08EB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0C7C466" w14:textId="224FFEDD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3AC67FE1" w14:textId="30F2DC99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7" w:type="dxa"/>
            <w:vAlign w:val="bottom"/>
          </w:tcPr>
          <w:p w14:paraId="6C24BA45" w14:textId="22658E94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56" w:type="dxa"/>
            <w:vAlign w:val="bottom"/>
          </w:tcPr>
          <w:p w14:paraId="580AD99C" w14:textId="7E6150F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1.142 €</w:t>
            </w:r>
          </w:p>
        </w:tc>
      </w:tr>
      <w:tr w:rsidR="00BD05D7" w:rsidRPr="00E40AF9" w14:paraId="64208583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60A1F1A4" w14:textId="4C26031C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3FC00B5A" w14:textId="125B4FF5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7" w:type="dxa"/>
            <w:vAlign w:val="bottom"/>
          </w:tcPr>
          <w:p w14:paraId="45804F51" w14:textId="15AA8B2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-4,6 %</w:t>
            </w:r>
          </w:p>
        </w:tc>
        <w:tc>
          <w:tcPr>
            <w:tcW w:w="1856" w:type="dxa"/>
            <w:vAlign w:val="bottom"/>
          </w:tcPr>
          <w:p w14:paraId="666FA52C" w14:textId="4233417D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1.372 €</w:t>
            </w:r>
          </w:p>
        </w:tc>
      </w:tr>
      <w:tr w:rsidR="00BD05D7" w:rsidRPr="00E40AF9" w14:paraId="07476808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EAEEE72" w14:textId="11776059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27FE6EEC" w14:textId="6BDD8429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27" w:type="dxa"/>
            <w:vAlign w:val="bottom"/>
          </w:tcPr>
          <w:p w14:paraId="66F20F9A" w14:textId="7F6AEB42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856" w:type="dxa"/>
            <w:vAlign w:val="bottom"/>
          </w:tcPr>
          <w:p w14:paraId="6F4D65CD" w14:textId="74DA5F13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1.532 €</w:t>
            </w:r>
          </w:p>
        </w:tc>
      </w:tr>
      <w:tr w:rsidR="00BD05D7" w:rsidRPr="00E40AF9" w14:paraId="1A80ED98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96EA670" w14:textId="4ACDADA5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04F404FC" w14:textId="25D98277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0,03 %</w:t>
            </w:r>
          </w:p>
        </w:tc>
        <w:tc>
          <w:tcPr>
            <w:tcW w:w="2127" w:type="dxa"/>
            <w:vAlign w:val="bottom"/>
          </w:tcPr>
          <w:p w14:paraId="206FF969" w14:textId="4B0D6A73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856" w:type="dxa"/>
            <w:vAlign w:val="bottom"/>
          </w:tcPr>
          <w:p w14:paraId="02BFFE06" w14:textId="231EC3DE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1.229 €</w:t>
            </w:r>
          </w:p>
        </w:tc>
      </w:tr>
      <w:tr w:rsidR="00BD05D7" w:rsidRPr="00E40AF9" w14:paraId="45EB2E62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F27A9A6" w14:textId="33D5FAF3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0FA43673" w14:textId="54A754D7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0,01 %</w:t>
            </w:r>
          </w:p>
        </w:tc>
        <w:tc>
          <w:tcPr>
            <w:tcW w:w="2127" w:type="dxa"/>
            <w:vAlign w:val="bottom"/>
          </w:tcPr>
          <w:p w14:paraId="29C997E5" w14:textId="58C5C7B6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856" w:type="dxa"/>
            <w:vAlign w:val="bottom"/>
          </w:tcPr>
          <w:p w14:paraId="35D4F5EC" w14:textId="164232D0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1.740 €</w:t>
            </w:r>
          </w:p>
        </w:tc>
      </w:tr>
      <w:tr w:rsidR="00BD05D7" w:rsidRPr="00E40AF9" w14:paraId="77CE75A5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FD36AC7" w14:textId="7BF62D59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6CB44F3F" w14:textId="213940A6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7" w:type="dxa"/>
            <w:vAlign w:val="bottom"/>
          </w:tcPr>
          <w:p w14:paraId="5C5126EF" w14:textId="26468C49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856" w:type="dxa"/>
            <w:vAlign w:val="bottom"/>
          </w:tcPr>
          <w:p w14:paraId="304F9330" w14:textId="26DB7533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1.169 €</w:t>
            </w:r>
          </w:p>
        </w:tc>
      </w:tr>
      <w:tr w:rsidR="00BD05D7" w:rsidRPr="00E40AF9" w14:paraId="53EFF7BA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68439A5" w14:textId="00698A02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59A44EC6" w14:textId="1052D66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7" w:type="dxa"/>
            <w:vAlign w:val="bottom"/>
          </w:tcPr>
          <w:p w14:paraId="0F6EE7FC" w14:textId="5BCAF662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856" w:type="dxa"/>
            <w:vAlign w:val="bottom"/>
          </w:tcPr>
          <w:p w14:paraId="2CC67129" w14:textId="4BFF6CB4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1.536 €</w:t>
            </w:r>
          </w:p>
        </w:tc>
      </w:tr>
      <w:tr w:rsidR="00BD05D7" w:rsidRPr="00E40AF9" w14:paraId="0E551A09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37FF7F80" w14:textId="0E9BACF1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Melilla</w:t>
            </w:r>
          </w:p>
        </w:tc>
        <w:tc>
          <w:tcPr>
            <w:tcW w:w="2268" w:type="dxa"/>
            <w:vAlign w:val="bottom"/>
          </w:tcPr>
          <w:p w14:paraId="5FCB1EAD" w14:textId="7E50ED03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7" w:type="dxa"/>
            <w:vAlign w:val="bottom"/>
          </w:tcPr>
          <w:p w14:paraId="0E64B023" w14:textId="2DEBE6D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856" w:type="dxa"/>
            <w:vAlign w:val="bottom"/>
          </w:tcPr>
          <w:p w14:paraId="47C5E7A9" w14:textId="34EA9350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1.963 €</w:t>
            </w:r>
          </w:p>
        </w:tc>
      </w:tr>
      <w:tr w:rsidR="00BD05D7" w:rsidRPr="00E40AF9" w14:paraId="0C942FB4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1D4845D" w14:textId="74BB1A93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00E6CD5D" w14:textId="11910CF3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7" w:type="dxa"/>
            <w:vAlign w:val="bottom"/>
          </w:tcPr>
          <w:p w14:paraId="316119B7" w14:textId="1B8F0CF8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856" w:type="dxa"/>
            <w:vAlign w:val="bottom"/>
          </w:tcPr>
          <w:p w14:paraId="75244C68" w14:textId="08DBED8B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3.046 €</w:t>
            </w:r>
          </w:p>
        </w:tc>
      </w:tr>
      <w:tr w:rsidR="00BD05D7" w:rsidRPr="00E40AF9" w14:paraId="364D95B6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BF6B647" w14:textId="57BF0F8A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32BB89E0" w14:textId="171D7D7F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7" w:type="dxa"/>
            <w:vAlign w:val="bottom"/>
          </w:tcPr>
          <w:p w14:paraId="5FA5262C" w14:textId="5CC02B78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856" w:type="dxa"/>
            <w:vAlign w:val="bottom"/>
          </w:tcPr>
          <w:p w14:paraId="5DB650FB" w14:textId="184F2844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1.070 €</w:t>
            </w:r>
          </w:p>
        </w:tc>
      </w:tr>
      <w:tr w:rsidR="00BD05D7" w:rsidRPr="00E40AF9" w14:paraId="4CA99739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9752981" w14:textId="15A806D0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7EC61127" w14:textId="52C01EC7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7" w:type="dxa"/>
            <w:vAlign w:val="bottom"/>
          </w:tcPr>
          <w:p w14:paraId="0F8CF676" w14:textId="00545150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1856" w:type="dxa"/>
            <w:vAlign w:val="bottom"/>
          </w:tcPr>
          <w:p w14:paraId="2DD7D8EC" w14:textId="39D650C2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2.835 €</w:t>
            </w:r>
          </w:p>
        </w:tc>
      </w:tr>
      <w:tr w:rsidR="00BD05D7" w:rsidRPr="00E40AF9" w14:paraId="327A8381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11B361B" w14:textId="0402EF5A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2BF77FD4" w14:textId="0CB03A87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7" w:type="dxa"/>
            <w:vAlign w:val="bottom"/>
          </w:tcPr>
          <w:p w14:paraId="50EFAF92" w14:textId="31109AB0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3,5 %</w:t>
            </w:r>
          </w:p>
        </w:tc>
        <w:tc>
          <w:tcPr>
            <w:tcW w:w="1856" w:type="dxa"/>
            <w:vAlign w:val="bottom"/>
          </w:tcPr>
          <w:p w14:paraId="162F5FCA" w14:textId="0506BD39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1.299 €</w:t>
            </w:r>
          </w:p>
        </w:tc>
      </w:tr>
      <w:tr w:rsidR="00BD05D7" w:rsidRPr="00E40AF9" w14:paraId="6FFCD822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2113AB68" w14:textId="797D14E2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0AA36976" w14:textId="7636FE82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127" w:type="dxa"/>
            <w:vAlign w:val="bottom"/>
          </w:tcPr>
          <w:p w14:paraId="3A117B94" w14:textId="341ED34C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2,7 %</w:t>
            </w:r>
          </w:p>
        </w:tc>
        <w:tc>
          <w:tcPr>
            <w:tcW w:w="1856" w:type="dxa"/>
            <w:vAlign w:val="bottom"/>
          </w:tcPr>
          <w:p w14:paraId="4BBEC0F2" w14:textId="0679D745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1.119 €</w:t>
            </w:r>
          </w:p>
        </w:tc>
      </w:tr>
      <w:tr w:rsidR="00BD05D7" w:rsidRPr="00E40AF9" w14:paraId="5CA646A7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0EC5099D" w14:textId="18480DDC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Ceuta</w:t>
            </w:r>
          </w:p>
        </w:tc>
        <w:tc>
          <w:tcPr>
            <w:tcW w:w="2268" w:type="dxa"/>
            <w:vAlign w:val="bottom"/>
          </w:tcPr>
          <w:p w14:paraId="380E8774" w14:textId="2805F52A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-1,63 %</w:t>
            </w:r>
          </w:p>
        </w:tc>
        <w:tc>
          <w:tcPr>
            <w:tcW w:w="2127" w:type="dxa"/>
            <w:vAlign w:val="bottom"/>
          </w:tcPr>
          <w:p w14:paraId="206F488E" w14:textId="64D24D1B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856" w:type="dxa"/>
            <w:vAlign w:val="bottom"/>
          </w:tcPr>
          <w:p w14:paraId="683F3A23" w14:textId="4FB49EED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2.313 €</w:t>
            </w:r>
          </w:p>
        </w:tc>
      </w:tr>
      <w:tr w:rsidR="00BD05D7" w:rsidRPr="00E40AF9" w14:paraId="32C1A462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1F14AC2" w14:textId="3948B752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50CDE95D" w14:textId="567CBB95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127" w:type="dxa"/>
            <w:vAlign w:val="bottom"/>
          </w:tcPr>
          <w:p w14:paraId="067E7C6A" w14:textId="31A27368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856" w:type="dxa"/>
            <w:vAlign w:val="bottom"/>
          </w:tcPr>
          <w:p w14:paraId="3D77AA00" w14:textId="7B84C325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2.359 €</w:t>
            </w:r>
          </w:p>
        </w:tc>
      </w:tr>
      <w:tr w:rsidR="00BD05D7" w:rsidRPr="00E40AF9" w14:paraId="49B6EA62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9CC0A09" w14:textId="5E0D964B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33A9CB38" w14:textId="5F6C5A31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127" w:type="dxa"/>
            <w:vAlign w:val="bottom"/>
          </w:tcPr>
          <w:p w14:paraId="13E5F5EB" w14:textId="066A6106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856" w:type="dxa"/>
            <w:vAlign w:val="bottom"/>
          </w:tcPr>
          <w:p w14:paraId="7817F24A" w14:textId="2E871C61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1.286 €</w:t>
            </w:r>
          </w:p>
        </w:tc>
      </w:tr>
      <w:tr w:rsidR="00BD05D7" w:rsidRPr="00E40AF9" w14:paraId="227EEDB9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094A81DA" w14:textId="50BD1D80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0A645048" w14:textId="64B94AAB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127" w:type="dxa"/>
            <w:vAlign w:val="bottom"/>
          </w:tcPr>
          <w:p w14:paraId="45688397" w14:textId="48A2D6FB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-9,9 %</w:t>
            </w:r>
          </w:p>
        </w:tc>
        <w:tc>
          <w:tcPr>
            <w:tcW w:w="1856" w:type="dxa"/>
            <w:vAlign w:val="bottom"/>
          </w:tcPr>
          <w:p w14:paraId="558D22DA" w14:textId="2D370950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1.083 €</w:t>
            </w:r>
          </w:p>
        </w:tc>
      </w:tr>
      <w:tr w:rsidR="00BD05D7" w:rsidRPr="00E40AF9" w14:paraId="364AAFE4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7A729497" w14:textId="5CF126DA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18BB6283" w14:textId="6709D4A3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2127" w:type="dxa"/>
            <w:vAlign w:val="bottom"/>
          </w:tcPr>
          <w:p w14:paraId="67BF0697" w14:textId="599AAD7E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856" w:type="dxa"/>
            <w:vAlign w:val="bottom"/>
          </w:tcPr>
          <w:p w14:paraId="266CC83E" w14:textId="7C051C63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969 €</w:t>
            </w:r>
          </w:p>
        </w:tc>
      </w:tr>
      <w:tr w:rsidR="00BD05D7" w:rsidRPr="00E40AF9" w14:paraId="1B1A22A8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6A4A8E99" w14:textId="1D5D9389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494D7C71" w14:textId="4A30A15D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127" w:type="dxa"/>
            <w:vAlign w:val="bottom"/>
          </w:tcPr>
          <w:p w14:paraId="3CABD45E" w14:textId="32EC835E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1856" w:type="dxa"/>
            <w:vAlign w:val="bottom"/>
          </w:tcPr>
          <w:p w14:paraId="26FEE168" w14:textId="209192B6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1.732 €</w:t>
            </w:r>
          </w:p>
        </w:tc>
      </w:tr>
      <w:tr w:rsidR="00BD05D7" w:rsidRPr="00E40AF9" w14:paraId="1E94BBA2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68AFC1B8" w14:textId="382342F4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39A7AFF9" w14:textId="48836DB8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2127" w:type="dxa"/>
            <w:vAlign w:val="bottom"/>
          </w:tcPr>
          <w:p w14:paraId="7116AE28" w14:textId="44FA800E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3,7 %</w:t>
            </w:r>
          </w:p>
        </w:tc>
        <w:tc>
          <w:tcPr>
            <w:tcW w:w="1856" w:type="dxa"/>
            <w:vAlign w:val="bottom"/>
          </w:tcPr>
          <w:p w14:paraId="0E243869" w14:textId="633892EB" w:rsidR="00BD05D7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1.699 €</w:t>
            </w:r>
          </w:p>
        </w:tc>
      </w:tr>
      <w:tr w:rsidR="00BD05D7" w:rsidRPr="00E40AF9" w14:paraId="3CD9B62D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4AEF0520" w14:textId="2999A6FB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4EA47D35" w14:textId="3E405C39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-4,3 %</w:t>
            </w:r>
          </w:p>
        </w:tc>
        <w:tc>
          <w:tcPr>
            <w:tcW w:w="2127" w:type="dxa"/>
            <w:vAlign w:val="bottom"/>
          </w:tcPr>
          <w:p w14:paraId="17643944" w14:textId="2505B59F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1856" w:type="dxa"/>
            <w:vAlign w:val="bottom"/>
          </w:tcPr>
          <w:p w14:paraId="7AF5A577" w14:textId="3C983AFD" w:rsidR="00BD05D7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1.374 €</w:t>
            </w:r>
          </w:p>
        </w:tc>
      </w:tr>
      <w:tr w:rsidR="00BD05D7" w:rsidRPr="00E40AF9" w14:paraId="434D45A6" w14:textId="77777777" w:rsidTr="0066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54B052A2" w14:textId="6A1F2CCD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0B5EF542" w14:textId="3B43E700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-7,3 %</w:t>
            </w:r>
          </w:p>
        </w:tc>
        <w:tc>
          <w:tcPr>
            <w:tcW w:w="2127" w:type="dxa"/>
            <w:vAlign w:val="bottom"/>
          </w:tcPr>
          <w:p w14:paraId="54F3A7BD" w14:textId="56B322C3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-7,9 %</w:t>
            </w:r>
          </w:p>
        </w:tc>
        <w:tc>
          <w:tcPr>
            <w:tcW w:w="1856" w:type="dxa"/>
            <w:vAlign w:val="bottom"/>
          </w:tcPr>
          <w:p w14:paraId="2276D16F" w14:textId="424B73C4" w:rsidR="00BD05D7" w:rsidRPr="00E40AF9" w:rsidRDefault="00BD05D7" w:rsidP="00BD0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1.321 €</w:t>
            </w:r>
          </w:p>
        </w:tc>
      </w:tr>
      <w:tr w:rsidR="00BD05D7" w:rsidRPr="00E40AF9" w14:paraId="1C7B06FA" w14:textId="77777777" w:rsidTr="006645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bottom"/>
          </w:tcPr>
          <w:p w14:paraId="0675BF3C" w14:textId="2073AC5A" w:rsidR="00BD05D7" w:rsidRPr="00BD05D7" w:rsidRDefault="00BD05D7" w:rsidP="00BD05D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D05D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6E3610AC" w14:textId="6CF171CE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-8,5 %</w:t>
            </w:r>
          </w:p>
        </w:tc>
        <w:tc>
          <w:tcPr>
            <w:tcW w:w="2127" w:type="dxa"/>
            <w:vAlign w:val="bottom"/>
          </w:tcPr>
          <w:p w14:paraId="2B2A9950" w14:textId="157054E2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856" w:type="dxa"/>
            <w:vAlign w:val="bottom"/>
          </w:tcPr>
          <w:p w14:paraId="1C484B3C" w14:textId="4CB1AFA6" w:rsidR="00BD05D7" w:rsidRPr="00E40AF9" w:rsidRDefault="00BD05D7" w:rsidP="00BD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961 €</w:t>
            </w:r>
          </w:p>
        </w:tc>
      </w:tr>
    </w:tbl>
    <w:p w14:paraId="1B9C19DD" w14:textId="51057194" w:rsidR="004D3A34" w:rsidRDefault="00E11682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Capitales de provincia</w:t>
      </w:r>
      <w:r w:rsidR="008F0AF1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s</w:t>
      </w:r>
    </w:p>
    <w:p w14:paraId="75286448" w14:textId="0E93CA6C" w:rsidR="00F35E24" w:rsidRDefault="004B72A4" w:rsidP="00F35E24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F35E24">
        <w:rPr>
          <w:rFonts w:ascii="Open Sans" w:hAnsi="Open Sans" w:cs="Open Sans"/>
          <w:color w:val="000000"/>
        </w:rPr>
        <w:t>30</w:t>
      </w:r>
      <w:r w:rsidR="004D758E">
        <w:rPr>
          <w:rFonts w:ascii="Open Sans" w:hAnsi="Open Sans" w:cs="Open Sans"/>
          <w:color w:val="000000"/>
        </w:rPr>
        <w:t xml:space="preserve"> </w:t>
      </w:r>
      <w:r w:rsidR="001454FC">
        <w:rPr>
          <w:rFonts w:ascii="Open Sans" w:hAnsi="Open Sans" w:cs="Open Sans"/>
          <w:color w:val="000000"/>
        </w:rPr>
        <w:t xml:space="preserve">de las </w:t>
      </w:r>
      <w:r w:rsidR="008F2703">
        <w:rPr>
          <w:rFonts w:ascii="Open Sans" w:hAnsi="Open Sans" w:cs="Open Sans"/>
          <w:color w:val="000000"/>
        </w:rPr>
        <w:t>50</w:t>
      </w:r>
      <w:r w:rsidR="00E40AF9">
        <w:rPr>
          <w:rFonts w:ascii="Open Sans" w:hAnsi="Open Sans" w:cs="Open Sans"/>
          <w:color w:val="000000"/>
        </w:rPr>
        <w:t xml:space="preserve"> capitales de provincia </w:t>
      </w:r>
      <w:r w:rsidR="001454FC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 xml:space="preserve">en el </w:t>
      </w:r>
      <w:r w:rsidR="00F35E24">
        <w:rPr>
          <w:rFonts w:ascii="Open Sans" w:hAnsi="Open Sans" w:cs="Open Sans"/>
          <w:color w:val="000000"/>
        </w:rPr>
        <w:t>60</w:t>
      </w:r>
      <w:r w:rsidR="001454FC">
        <w:rPr>
          <w:rFonts w:ascii="Open Sans" w:hAnsi="Open Sans" w:cs="Open Sans"/>
          <w:color w:val="000000"/>
        </w:rPr>
        <w:t xml:space="preserve">%) </w:t>
      </w:r>
      <w:r w:rsidR="00540CD7">
        <w:rPr>
          <w:rFonts w:ascii="Open Sans" w:hAnsi="Open Sans" w:cs="Open Sans"/>
          <w:color w:val="000000"/>
        </w:rPr>
        <w:t xml:space="preserve">con variación mensual, </w:t>
      </w:r>
      <w:r w:rsidR="006829D1">
        <w:rPr>
          <w:rFonts w:ascii="Open Sans" w:hAnsi="Open Sans" w:cs="Open Sans"/>
          <w:color w:val="000000"/>
        </w:rPr>
        <w:t>cae</w:t>
      </w:r>
      <w:r w:rsidR="00E40AF9">
        <w:rPr>
          <w:rFonts w:ascii="Open Sans" w:hAnsi="Open Sans" w:cs="Open Sans"/>
          <w:color w:val="000000"/>
        </w:rPr>
        <w:t xml:space="preserve"> el precio </w:t>
      </w:r>
      <w:r>
        <w:rPr>
          <w:rFonts w:ascii="Open Sans" w:hAnsi="Open Sans" w:cs="Open Sans"/>
          <w:color w:val="000000"/>
        </w:rPr>
        <w:t xml:space="preserve">en </w:t>
      </w:r>
      <w:r w:rsidR="00F35E24">
        <w:rPr>
          <w:rFonts w:ascii="Open Sans" w:hAnsi="Open Sans" w:cs="Open Sans"/>
          <w:color w:val="000000"/>
        </w:rPr>
        <w:t>noviembre</w:t>
      </w:r>
      <w:r w:rsidR="00BF3E84" w:rsidRPr="00BF3E84">
        <w:rPr>
          <w:rFonts w:ascii="Open Sans" w:hAnsi="Open Sans" w:cs="Open Sans"/>
          <w:color w:val="000000"/>
        </w:rPr>
        <w:t xml:space="preserve"> </w:t>
      </w:r>
      <w:r w:rsidR="00E40AF9">
        <w:rPr>
          <w:rFonts w:ascii="Open Sans" w:hAnsi="Open Sans" w:cs="Open Sans"/>
          <w:color w:val="000000"/>
        </w:rPr>
        <w:t>respecto al mes anterior.</w:t>
      </w:r>
      <w:r>
        <w:rPr>
          <w:rFonts w:ascii="Open Sans" w:hAnsi="Open Sans" w:cs="Open Sans"/>
          <w:color w:val="000000"/>
        </w:rPr>
        <w:t xml:space="preserve"> Los</w:t>
      </w:r>
      <w:r w:rsidR="001454FC">
        <w:rPr>
          <w:rFonts w:ascii="Open Sans" w:hAnsi="Open Sans" w:cs="Open Sans"/>
          <w:color w:val="000000"/>
        </w:rPr>
        <w:t xml:space="preserve"> </w:t>
      </w:r>
      <w:r w:rsidR="00540CD7">
        <w:rPr>
          <w:rFonts w:ascii="Open Sans" w:hAnsi="Open Sans" w:cs="Open Sans"/>
          <w:color w:val="000000"/>
        </w:rPr>
        <w:t xml:space="preserve">diez mayores </w:t>
      </w:r>
      <w:r w:rsidR="006829D1">
        <w:rPr>
          <w:rFonts w:ascii="Open Sans" w:hAnsi="Open Sans" w:cs="Open Sans"/>
          <w:color w:val="000000"/>
        </w:rPr>
        <w:t>descensos</w:t>
      </w:r>
      <w:r>
        <w:rPr>
          <w:rFonts w:ascii="Open Sans" w:hAnsi="Open Sans" w:cs="Open Sans"/>
          <w:color w:val="000000"/>
        </w:rPr>
        <w:t xml:space="preserve"> mensuales corresponden a las siguientes ciudades:</w:t>
      </w:r>
      <w:r w:rsidRPr="004B72A4">
        <w:rPr>
          <w:rFonts w:ascii="Open Sans" w:hAnsi="Open Sans" w:cs="Open Sans"/>
          <w:color w:val="000000"/>
        </w:rPr>
        <w:t xml:space="preserve"> </w:t>
      </w:r>
      <w:r w:rsidR="00F35E24" w:rsidRPr="00F35E24">
        <w:rPr>
          <w:rFonts w:ascii="Open Sans" w:hAnsi="Open Sans" w:cs="Open Sans"/>
          <w:color w:val="000000"/>
        </w:rPr>
        <w:t>Palencia capital</w:t>
      </w:r>
      <w:r w:rsidR="00F35E24">
        <w:rPr>
          <w:rFonts w:ascii="Open Sans" w:hAnsi="Open Sans" w:cs="Open Sans"/>
          <w:color w:val="000000"/>
        </w:rPr>
        <w:t xml:space="preserve"> (-5,8%), </w:t>
      </w:r>
      <w:r w:rsidR="00F35E24" w:rsidRPr="00F35E24">
        <w:rPr>
          <w:rFonts w:ascii="Open Sans" w:hAnsi="Open Sans" w:cs="Open Sans"/>
          <w:color w:val="000000"/>
        </w:rPr>
        <w:t>Toledo capital</w:t>
      </w:r>
      <w:r w:rsidR="00F35E24">
        <w:rPr>
          <w:rFonts w:ascii="Open Sans" w:hAnsi="Open Sans" w:cs="Open Sans"/>
          <w:color w:val="000000"/>
        </w:rPr>
        <w:t xml:space="preserve"> (-3,5%), </w:t>
      </w:r>
      <w:r w:rsidR="00F35E24" w:rsidRPr="00F35E24">
        <w:rPr>
          <w:rFonts w:ascii="Open Sans" w:hAnsi="Open Sans" w:cs="Open Sans"/>
          <w:color w:val="000000"/>
        </w:rPr>
        <w:t>Huesca capital</w:t>
      </w:r>
      <w:r w:rsidR="00F35E24">
        <w:rPr>
          <w:rFonts w:ascii="Open Sans" w:hAnsi="Open Sans" w:cs="Open Sans"/>
          <w:color w:val="000000"/>
        </w:rPr>
        <w:t xml:space="preserve"> (-2,3%), </w:t>
      </w:r>
      <w:r w:rsidR="00F35E24" w:rsidRPr="00F35E24">
        <w:rPr>
          <w:rFonts w:ascii="Open Sans" w:hAnsi="Open Sans" w:cs="Open Sans"/>
          <w:color w:val="000000"/>
        </w:rPr>
        <w:t>Alicante / Alacant</w:t>
      </w:r>
      <w:r w:rsidR="00F35E24">
        <w:rPr>
          <w:rFonts w:ascii="Open Sans" w:hAnsi="Open Sans" w:cs="Open Sans"/>
          <w:color w:val="000000"/>
        </w:rPr>
        <w:t xml:space="preserve"> (-1,3%), </w:t>
      </w:r>
      <w:r w:rsidR="00F35E24" w:rsidRPr="00F35E24">
        <w:rPr>
          <w:rFonts w:ascii="Open Sans" w:hAnsi="Open Sans" w:cs="Open Sans"/>
          <w:color w:val="000000"/>
        </w:rPr>
        <w:t>Vitoria - Gasteiz</w:t>
      </w:r>
      <w:r w:rsidR="00F35E24">
        <w:rPr>
          <w:rFonts w:ascii="Open Sans" w:hAnsi="Open Sans" w:cs="Open Sans"/>
          <w:color w:val="000000"/>
        </w:rPr>
        <w:t xml:space="preserve"> (-1,3%), </w:t>
      </w:r>
      <w:r w:rsidR="00F35E24" w:rsidRPr="00F35E24">
        <w:rPr>
          <w:rFonts w:ascii="Open Sans" w:hAnsi="Open Sans" w:cs="Open Sans"/>
          <w:color w:val="000000"/>
        </w:rPr>
        <w:t xml:space="preserve">Albacete </w:t>
      </w:r>
      <w:r w:rsidR="00F35E24" w:rsidRPr="00F35E24">
        <w:rPr>
          <w:rFonts w:ascii="Open Sans" w:hAnsi="Open Sans" w:cs="Open Sans"/>
          <w:color w:val="000000"/>
        </w:rPr>
        <w:lastRenderedPageBreak/>
        <w:t>capital</w:t>
      </w:r>
      <w:r w:rsidR="00F35E24">
        <w:rPr>
          <w:rFonts w:ascii="Open Sans" w:hAnsi="Open Sans" w:cs="Open Sans"/>
          <w:color w:val="000000"/>
        </w:rPr>
        <w:t xml:space="preserve"> (-1,1%), </w:t>
      </w:r>
      <w:r w:rsidR="00F35E24" w:rsidRPr="00F35E24">
        <w:rPr>
          <w:rFonts w:ascii="Open Sans" w:hAnsi="Open Sans" w:cs="Open Sans"/>
          <w:color w:val="000000"/>
        </w:rPr>
        <w:t>Ávila capital</w:t>
      </w:r>
      <w:r w:rsidR="00F35E24">
        <w:rPr>
          <w:rFonts w:ascii="Open Sans" w:hAnsi="Open Sans" w:cs="Open Sans"/>
          <w:color w:val="000000"/>
        </w:rPr>
        <w:t xml:space="preserve"> (-1%), </w:t>
      </w:r>
      <w:r w:rsidR="00F35E24" w:rsidRPr="00F35E24">
        <w:rPr>
          <w:rFonts w:ascii="Open Sans" w:hAnsi="Open Sans" w:cs="Open Sans"/>
          <w:color w:val="000000"/>
        </w:rPr>
        <w:t>Cuenca capital</w:t>
      </w:r>
      <w:r w:rsidR="00F35E24">
        <w:rPr>
          <w:rFonts w:ascii="Open Sans" w:hAnsi="Open Sans" w:cs="Open Sans"/>
          <w:color w:val="000000"/>
        </w:rPr>
        <w:t xml:space="preserve"> (-1%), </w:t>
      </w:r>
      <w:r w:rsidR="00F35E24" w:rsidRPr="00F35E24">
        <w:rPr>
          <w:rFonts w:ascii="Open Sans" w:hAnsi="Open Sans" w:cs="Open Sans"/>
          <w:color w:val="000000"/>
        </w:rPr>
        <w:t>Santander</w:t>
      </w:r>
      <w:r w:rsidR="00F35E24">
        <w:rPr>
          <w:rFonts w:ascii="Open Sans" w:hAnsi="Open Sans" w:cs="Open Sans"/>
          <w:color w:val="000000"/>
        </w:rPr>
        <w:t xml:space="preserve"> (-0,9%) y </w:t>
      </w:r>
      <w:r w:rsidR="00F35E24" w:rsidRPr="00F35E24">
        <w:rPr>
          <w:rFonts w:ascii="Open Sans" w:hAnsi="Open Sans" w:cs="Open Sans"/>
          <w:color w:val="000000"/>
        </w:rPr>
        <w:t>Burgos capital</w:t>
      </w:r>
      <w:r w:rsidR="00F35E24">
        <w:rPr>
          <w:rFonts w:ascii="Open Sans" w:hAnsi="Open Sans" w:cs="Open Sans"/>
          <w:color w:val="000000"/>
        </w:rPr>
        <w:t xml:space="preserve"> (-0,8%). </w:t>
      </w:r>
    </w:p>
    <w:p w14:paraId="548D7B08" w14:textId="7C9E5487" w:rsidR="00F35E24" w:rsidRDefault="00B17F64" w:rsidP="008416BD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las </w:t>
      </w:r>
      <w:r w:rsidR="006829D1">
        <w:rPr>
          <w:rFonts w:ascii="Open Sans" w:hAnsi="Open Sans" w:cs="Open Sans"/>
          <w:color w:val="000000"/>
        </w:rPr>
        <w:t>diez</w:t>
      </w:r>
      <w:r>
        <w:rPr>
          <w:rFonts w:ascii="Open Sans" w:hAnsi="Open Sans" w:cs="Open Sans"/>
          <w:color w:val="000000"/>
        </w:rPr>
        <w:t xml:space="preserve"> capitales con mayores </w:t>
      </w:r>
      <w:r w:rsidR="006829D1">
        <w:rPr>
          <w:rFonts w:ascii="Open Sans" w:hAnsi="Open Sans" w:cs="Open Sans"/>
          <w:color w:val="000000"/>
        </w:rPr>
        <w:t>incrementos</w:t>
      </w:r>
      <w:r>
        <w:rPr>
          <w:rFonts w:ascii="Open Sans" w:hAnsi="Open Sans" w:cs="Open Sans"/>
          <w:color w:val="000000"/>
        </w:rPr>
        <w:t xml:space="preserve"> son: </w:t>
      </w:r>
      <w:r w:rsidR="00F35E24" w:rsidRPr="00F35E24">
        <w:rPr>
          <w:rFonts w:ascii="Open Sans" w:hAnsi="Open Sans" w:cs="Open Sans"/>
          <w:color w:val="000000"/>
        </w:rPr>
        <w:t>Teruel capital</w:t>
      </w:r>
      <w:r w:rsidR="00F35E24">
        <w:rPr>
          <w:rFonts w:ascii="Open Sans" w:hAnsi="Open Sans" w:cs="Open Sans"/>
          <w:color w:val="000000"/>
        </w:rPr>
        <w:t xml:space="preserve"> (2,1%), </w:t>
      </w:r>
      <w:r w:rsidR="00F35E24" w:rsidRPr="00F35E24">
        <w:rPr>
          <w:rFonts w:ascii="Open Sans" w:hAnsi="Open Sans" w:cs="Open Sans"/>
          <w:color w:val="000000"/>
        </w:rPr>
        <w:t>Zaragoza capital</w:t>
      </w:r>
      <w:r w:rsidR="00F35E24">
        <w:rPr>
          <w:rFonts w:ascii="Open Sans" w:hAnsi="Open Sans" w:cs="Open Sans"/>
          <w:color w:val="000000"/>
        </w:rPr>
        <w:t xml:space="preserve"> (1,9%), </w:t>
      </w:r>
      <w:r w:rsidR="00F35E24" w:rsidRPr="00F35E24">
        <w:rPr>
          <w:rFonts w:ascii="Open Sans" w:hAnsi="Open Sans" w:cs="Open Sans"/>
          <w:color w:val="000000"/>
        </w:rPr>
        <w:t>Lugo capital</w:t>
      </w:r>
      <w:r w:rsidR="00F35E24">
        <w:rPr>
          <w:rFonts w:ascii="Open Sans" w:hAnsi="Open Sans" w:cs="Open Sans"/>
          <w:color w:val="000000"/>
        </w:rPr>
        <w:t xml:space="preserve"> (1,8%), </w:t>
      </w:r>
      <w:r w:rsidR="00F35E24" w:rsidRPr="00F35E24">
        <w:rPr>
          <w:rFonts w:ascii="Open Sans" w:hAnsi="Open Sans" w:cs="Open Sans"/>
          <w:color w:val="000000"/>
        </w:rPr>
        <w:t>Murcia capital</w:t>
      </w:r>
      <w:r w:rsidR="00F35E24">
        <w:rPr>
          <w:rFonts w:ascii="Open Sans" w:hAnsi="Open Sans" w:cs="Open Sans"/>
          <w:color w:val="000000"/>
        </w:rPr>
        <w:t xml:space="preserve"> (1,6%), </w:t>
      </w:r>
      <w:r w:rsidR="00F35E24" w:rsidRPr="00F35E24">
        <w:rPr>
          <w:rFonts w:ascii="Open Sans" w:hAnsi="Open Sans" w:cs="Open Sans"/>
          <w:color w:val="000000"/>
        </w:rPr>
        <w:t>Cáceres capital</w:t>
      </w:r>
      <w:r w:rsidR="00F35E24">
        <w:rPr>
          <w:rFonts w:ascii="Open Sans" w:hAnsi="Open Sans" w:cs="Open Sans"/>
          <w:color w:val="000000"/>
        </w:rPr>
        <w:t xml:space="preserve"> (1,3%), </w:t>
      </w:r>
      <w:r w:rsidR="00F35E24" w:rsidRPr="00F35E24">
        <w:rPr>
          <w:rFonts w:ascii="Open Sans" w:hAnsi="Open Sans" w:cs="Open Sans"/>
          <w:color w:val="000000"/>
        </w:rPr>
        <w:t>Soria capital</w:t>
      </w:r>
      <w:r w:rsidR="00F35E24">
        <w:rPr>
          <w:rFonts w:ascii="Open Sans" w:hAnsi="Open Sans" w:cs="Open Sans"/>
          <w:color w:val="000000"/>
        </w:rPr>
        <w:t xml:space="preserve"> (1,2%), </w:t>
      </w:r>
      <w:r w:rsidR="00F35E24" w:rsidRPr="00F35E24">
        <w:rPr>
          <w:rFonts w:ascii="Open Sans" w:hAnsi="Open Sans" w:cs="Open Sans"/>
          <w:color w:val="000000"/>
        </w:rPr>
        <w:t>Segovia capital</w:t>
      </w:r>
      <w:r w:rsidR="00F35E24">
        <w:rPr>
          <w:rFonts w:ascii="Open Sans" w:hAnsi="Open Sans" w:cs="Open Sans"/>
          <w:color w:val="000000"/>
        </w:rPr>
        <w:t xml:space="preserve"> (1%), </w:t>
      </w:r>
      <w:r w:rsidR="00F35E24" w:rsidRPr="00F35E24">
        <w:rPr>
          <w:rFonts w:ascii="Open Sans" w:hAnsi="Open Sans" w:cs="Open Sans"/>
          <w:color w:val="000000"/>
        </w:rPr>
        <w:t>Huelva capital</w:t>
      </w:r>
      <w:r w:rsidR="00F35E24">
        <w:rPr>
          <w:rFonts w:ascii="Open Sans" w:hAnsi="Open Sans" w:cs="Open Sans"/>
          <w:color w:val="000000"/>
        </w:rPr>
        <w:t xml:space="preserve"> (0,9%), </w:t>
      </w:r>
      <w:r w:rsidR="00F35E24" w:rsidRPr="00F35E24">
        <w:rPr>
          <w:rFonts w:ascii="Open Sans" w:hAnsi="Open Sans" w:cs="Open Sans"/>
          <w:color w:val="000000"/>
        </w:rPr>
        <w:t>Pontevedra capital</w:t>
      </w:r>
      <w:r w:rsidR="00F35E24">
        <w:rPr>
          <w:rFonts w:ascii="Open Sans" w:hAnsi="Open Sans" w:cs="Open Sans"/>
          <w:color w:val="000000"/>
        </w:rPr>
        <w:t xml:space="preserve"> (0,9%) y </w:t>
      </w:r>
      <w:r w:rsidR="00F35E24" w:rsidRPr="00F35E24">
        <w:rPr>
          <w:rFonts w:ascii="Open Sans" w:hAnsi="Open Sans" w:cs="Open Sans"/>
          <w:color w:val="000000"/>
        </w:rPr>
        <w:t>Granada capital</w:t>
      </w:r>
      <w:r w:rsidR="00F35E24">
        <w:rPr>
          <w:rFonts w:ascii="Open Sans" w:hAnsi="Open Sans" w:cs="Open Sans"/>
          <w:color w:val="000000"/>
        </w:rPr>
        <w:t xml:space="preserve"> (0,9%). </w:t>
      </w:r>
    </w:p>
    <w:p w14:paraId="7DF6A02A" w14:textId="71361F4E" w:rsidR="002A1E8E" w:rsidRDefault="00E40AF9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los precios, la capital de provincia más cara es </w:t>
      </w:r>
      <w:r w:rsidR="001454FC" w:rsidRPr="001454FC">
        <w:rPr>
          <w:rFonts w:ascii="Open Sans" w:hAnsi="Open Sans" w:cs="Open Sans"/>
          <w:color w:val="000000"/>
        </w:rPr>
        <w:t>Donostia - San Sebastián</w:t>
      </w:r>
      <w:r w:rsidR="001454F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DE703A">
        <w:rPr>
          <w:rFonts w:ascii="Open Sans" w:hAnsi="Open Sans" w:cs="Open Sans"/>
          <w:color w:val="000000"/>
        </w:rPr>
        <w:t>5.</w:t>
      </w:r>
      <w:r w:rsidR="00800E82">
        <w:rPr>
          <w:rFonts w:ascii="Open Sans" w:hAnsi="Open Sans" w:cs="Open Sans"/>
          <w:color w:val="000000"/>
        </w:rPr>
        <w:t>5</w:t>
      </w:r>
      <w:r w:rsidR="00F35E24">
        <w:rPr>
          <w:rFonts w:ascii="Open Sans" w:hAnsi="Open Sans" w:cs="Open Sans"/>
          <w:color w:val="000000"/>
        </w:rPr>
        <w:t>12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="001454FC" w:rsidRPr="001454FC">
        <w:rPr>
          <w:rFonts w:ascii="Open Sans" w:hAnsi="Open Sans" w:cs="Open Sans"/>
          <w:color w:val="000000"/>
        </w:rPr>
        <w:t xml:space="preserve">Barcelona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4.</w:t>
      </w:r>
      <w:r w:rsidR="00D70955">
        <w:rPr>
          <w:rFonts w:ascii="Open Sans" w:hAnsi="Open Sans" w:cs="Open Sans"/>
          <w:color w:val="000000"/>
        </w:rPr>
        <w:t>4</w:t>
      </w:r>
      <w:r w:rsidR="00F35E24">
        <w:rPr>
          <w:rFonts w:ascii="Open Sans" w:hAnsi="Open Sans" w:cs="Open Sans"/>
          <w:color w:val="000000"/>
        </w:rPr>
        <w:t>29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 xml:space="preserve">Madrid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3.</w:t>
      </w:r>
      <w:r w:rsidR="003B0212">
        <w:rPr>
          <w:rFonts w:ascii="Open Sans" w:hAnsi="Open Sans" w:cs="Open Sans"/>
          <w:color w:val="000000"/>
        </w:rPr>
        <w:t>8</w:t>
      </w:r>
      <w:r w:rsidR="00E9484B">
        <w:rPr>
          <w:rFonts w:ascii="Open Sans" w:hAnsi="Open Sans" w:cs="Open Sans"/>
          <w:color w:val="000000"/>
        </w:rPr>
        <w:t>42</w:t>
      </w:r>
      <w:r w:rsidR="003B0212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>
        <w:rPr>
          <w:rFonts w:ascii="Open Sans" w:hAnsi="Open Sans" w:cs="Open Sans"/>
          <w:color w:val="000000"/>
        </w:rPr>
        <w:t>Bilbao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3.</w:t>
      </w:r>
      <w:r w:rsidR="00E9484B">
        <w:rPr>
          <w:rFonts w:ascii="Open Sans" w:hAnsi="Open Sans" w:cs="Open Sans"/>
          <w:color w:val="000000"/>
        </w:rPr>
        <w:t>385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Palma de Mallorca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2F6709">
        <w:rPr>
          <w:rFonts w:ascii="Open Sans" w:hAnsi="Open Sans" w:cs="Open Sans"/>
          <w:color w:val="000000"/>
        </w:rPr>
        <w:t>2.9</w:t>
      </w:r>
      <w:r w:rsidR="00800E82">
        <w:rPr>
          <w:rFonts w:ascii="Open Sans" w:hAnsi="Open Sans" w:cs="Open Sans"/>
          <w:color w:val="000000"/>
        </w:rPr>
        <w:t>9</w:t>
      </w:r>
      <w:r w:rsidR="00E9484B">
        <w:rPr>
          <w:rFonts w:ascii="Open Sans" w:hAnsi="Open Sans" w:cs="Open Sans"/>
          <w:color w:val="000000"/>
        </w:rPr>
        <w:t>0</w:t>
      </w:r>
      <w:r w:rsidR="002F6709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Vitoria - Gasteiz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DE703A">
        <w:rPr>
          <w:rFonts w:ascii="Open Sans" w:hAnsi="Open Sans" w:cs="Open Sans"/>
          <w:color w:val="000000"/>
        </w:rPr>
        <w:t>5</w:t>
      </w:r>
      <w:r w:rsidR="00E9484B">
        <w:rPr>
          <w:rFonts w:ascii="Open Sans" w:hAnsi="Open Sans" w:cs="Open Sans"/>
          <w:color w:val="000000"/>
        </w:rPr>
        <w:t>16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Cádiz </w:t>
      </w:r>
      <w:r w:rsidR="00244226">
        <w:rPr>
          <w:rFonts w:ascii="Open Sans" w:hAnsi="Open Sans" w:cs="Open Sans"/>
          <w:color w:val="000000"/>
        </w:rPr>
        <w:t>c</w:t>
      </w:r>
      <w:r w:rsidR="00DE703A" w:rsidRPr="007B5EFA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3B0212">
        <w:rPr>
          <w:rFonts w:ascii="Open Sans" w:hAnsi="Open Sans" w:cs="Open Sans"/>
          <w:color w:val="000000"/>
        </w:rPr>
        <w:t>4</w:t>
      </w:r>
      <w:r w:rsidR="00800E82">
        <w:rPr>
          <w:rFonts w:ascii="Open Sans" w:hAnsi="Open Sans" w:cs="Open Sans"/>
          <w:color w:val="000000"/>
        </w:rPr>
        <w:t>3</w:t>
      </w:r>
      <w:r w:rsidR="00E9484B">
        <w:rPr>
          <w:rFonts w:ascii="Open Sans" w:hAnsi="Open Sans" w:cs="Open Sans"/>
          <w:color w:val="000000"/>
        </w:rPr>
        <w:t>0</w:t>
      </w:r>
      <w:r w:rsidR="008C3A0B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 y </w:t>
      </w:r>
      <w:r w:rsidR="00DE703A" w:rsidRPr="00DE703A">
        <w:rPr>
          <w:rFonts w:ascii="Open Sans" w:hAnsi="Open Sans" w:cs="Open Sans"/>
          <w:color w:val="000000"/>
        </w:rPr>
        <w:t xml:space="preserve">Pamplona / Iruña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E9484B">
        <w:rPr>
          <w:rFonts w:ascii="Open Sans" w:hAnsi="Open Sans" w:cs="Open Sans"/>
          <w:color w:val="000000"/>
        </w:rPr>
        <w:t>390</w:t>
      </w:r>
      <w:r w:rsidR="003B0212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842"/>
        <w:gridCol w:w="1692"/>
      </w:tblGrid>
      <w:tr w:rsidR="00E40AF9" w:rsidRPr="00244226" w14:paraId="50BC08B8" w14:textId="77777777" w:rsidTr="00244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6C777EB" w14:textId="2B526D17" w:rsidR="00E40AF9" w:rsidRPr="00244226" w:rsidRDefault="00E40AF9" w:rsidP="002C7B33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294F8A68" w14:textId="0A30FB18" w:rsidR="00E40AF9" w:rsidRPr="00244226" w:rsidRDefault="00E40AF9" w:rsidP="002C7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48DE2C6A" w14:textId="77777777" w:rsidR="00E40AF9" w:rsidRPr="0024422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34BB92D4" w14:textId="2086E517" w:rsidR="00E40AF9" w:rsidRPr="0024422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603EAAC6" w14:textId="77777777" w:rsidR="00E40AF9" w:rsidRPr="0024422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4D1D1539" w14:textId="5F2A491E" w:rsidR="00E40AF9" w:rsidRPr="0024422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692" w:type="dxa"/>
          </w:tcPr>
          <w:p w14:paraId="6AF1C994" w14:textId="6AA0BAC9" w:rsidR="00E40AF9" w:rsidRPr="00244226" w:rsidRDefault="00E05149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BF3E84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.</w:t>
            </w:r>
            <w:r w:rsidR="002F6709"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</w:t>
            </w:r>
            <w:r w:rsidR="0079401C"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2020</w:t>
            </w:r>
          </w:p>
          <w:p w14:paraId="6B7D8AA6" w14:textId="2E822938" w:rsidR="00E40AF9" w:rsidRPr="00244226" w:rsidRDefault="00E40AF9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</w:t>
            </w:r>
            <w:r w:rsidR="00F23A6E"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euros/m</w:t>
            </w:r>
            <w:r w:rsidRPr="0024422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²)</w:t>
            </w:r>
          </w:p>
        </w:tc>
      </w:tr>
      <w:tr w:rsidR="00E9484B" w:rsidRPr="00244226" w14:paraId="3D5BDFF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A913C" w14:textId="073FD6A8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33428CCE" w14:textId="158A1885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1B2084CB" w14:textId="42EEACCC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-5,8 %</w:t>
            </w:r>
          </w:p>
        </w:tc>
        <w:tc>
          <w:tcPr>
            <w:tcW w:w="1842" w:type="dxa"/>
            <w:vAlign w:val="bottom"/>
          </w:tcPr>
          <w:p w14:paraId="49931DF0" w14:textId="014B91B0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-3,2 %</w:t>
            </w:r>
          </w:p>
        </w:tc>
        <w:tc>
          <w:tcPr>
            <w:tcW w:w="1692" w:type="dxa"/>
            <w:vAlign w:val="bottom"/>
          </w:tcPr>
          <w:p w14:paraId="2BF050E3" w14:textId="4CBA19FE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1.458 €</w:t>
            </w:r>
          </w:p>
        </w:tc>
      </w:tr>
      <w:tr w:rsidR="00E9484B" w:rsidRPr="00244226" w14:paraId="6BC09A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8ACF0B6" w14:textId="137DCD82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6D9B3CFF" w14:textId="5D417C45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777FFC64" w14:textId="41F59A85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-3,5 %</w:t>
            </w:r>
          </w:p>
        </w:tc>
        <w:tc>
          <w:tcPr>
            <w:tcW w:w="1842" w:type="dxa"/>
            <w:vAlign w:val="bottom"/>
          </w:tcPr>
          <w:p w14:paraId="04028EFA" w14:textId="539E3FF2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-8,4 %</w:t>
            </w:r>
          </w:p>
        </w:tc>
        <w:tc>
          <w:tcPr>
            <w:tcW w:w="1692" w:type="dxa"/>
            <w:vAlign w:val="bottom"/>
          </w:tcPr>
          <w:p w14:paraId="7133D007" w14:textId="580F287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1.366 €</w:t>
            </w:r>
          </w:p>
        </w:tc>
      </w:tr>
      <w:tr w:rsidR="00E9484B" w:rsidRPr="00244226" w14:paraId="070318DD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6E58195" w14:textId="79871861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3DA927BE" w14:textId="1A77DB37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1D666C1B" w14:textId="47110FB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-2,3 %</w:t>
            </w:r>
          </w:p>
        </w:tc>
        <w:tc>
          <w:tcPr>
            <w:tcW w:w="1842" w:type="dxa"/>
            <w:vAlign w:val="bottom"/>
          </w:tcPr>
          <w:p w14:paraId="7D4E179B" w14:textId="445BE41A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  <w:r w:rsidR="008C3A0B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692" w:type="dxa"/>
            <w:vAlign w:val="bottom"/>
          </w:tcPr>
          <w:p w14:paraId="37EC804F" w14:textId="439FD8C1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1.409 €</w:t>
            </w:r>
          </w:p>
        </w:tc>
      </w:tr>
      <w:tr w:rsidR="00E9484B" w:rsidRPr="00244226" w14:paraId="34A7B4E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DD98AD" w14:textId="376978C1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7C36D5C6" w14:textId="12E6AF1F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5EB3FE38" w14:textId="0353CE86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842" w:type="dxa"/>
            <w:vAlign w:val="bottom"/>
          </w:tcPr>
          <w:p w14:paraId="3A2C9CC3" w14:textId="02856B16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5,3 %</w:t>
            </w:r>
          </w:p>
        </w:tc>
        <w:tc>
          <w:tcPr>
            <w:tcW w:w="1692" w:type="dxa"/>
            <w:vAlign w:val="bottom"/>
          </w:tcPr>
          <w:p w14:paraId="5C86A653" w14:textId="6D10A847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1.644 €</w:t>
            </w:r>
          </w:p>
        </w:tc>
      </w:tr>
      <w:tr w:rsidR="00E9484B" w:rsidRPr="00244226" w14:paraId="6FF1DB8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0D44B07" w14:textId="3D11A9BA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0B4F131A" w14:textId="16628671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739C91D3" w14:textId="218AFC1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842" w:type="dxa"/>
            <w:vAlign w:val="bottom"/>
          </w:tcPr>
          <w:p w14:paraId="5893537F" w14:textId="7BC2E088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3,9 %</w:t>
            </w:r>
          </w:p>
        </w:tc>
        <w:tc>
          <w:tcPr>
            <w:tcW w:w="1692" w:type="dxa"/>
            <w:vAlign w:val="bottom"/>
          </w:tcPr>
          <w:p w14:paraId="26F7151E" w14:textId="3B61E40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2.516 €</w:t>
            </w:r>
          </w:p>
        </w:tc>
      </w:tr>
      <w:tr w:rsidR="00E9484B" w:rsidRPr="00244226" w14:paraId="558554D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802D74" w14:textId="27DABE74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4C5C7968" w14:textId="7C1A95AE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12AA6273" w14:textId="1759C06B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842" w:type="dxa"/>
            <w:vAlign w:val="bottom"/>
          </w:tcPr>
          <w:p w14:paraId="2D8F9D2F" w14:textId="14C084EF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692" w:type="dxa"/>
            <w:vAlign w:val="bottom"/>
          </w:tcPr>
          <w:p w14:paraId="798DF1E2" w14:textId="77275EBD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1.458 €</w:t>
            </w:r>
          </w:p>
        </w:tc>
      </w:tr>
      <w:tr w:rsidR="00E9484B" w:rsidRPr="00244226" w14:paraId="673D97D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1407E1" w14:textId="01E0CE2C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567F2BC9" w14:textId="70A6EB60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67BFB155" w14:textId="17453B2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842" w:type="dxa"/>
            <w:vAlign w:val="bottom"/>
          </w:tcPr>
          <w:p w14:paraId="4002F8A0" w14:textId="13F09159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3,4 %</w:t>
            </w:r>
          </w:p>
        </w:tc>
        <w:tc>
          <w:tcPr>
            <w:tcW w:w="1692" w:type="dxa"/>
            <w:vAlign w:val="bottom"/>
          </w:tcPr>
          <w:p w14:paraId="4D08D76F" w14:textId="5D24172A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1.169 €</w:t>
            </w:r>
          </w:p>
        </w:tc>
      </w:tr>
      <w:tr w:rsidR="00E9484B" w:rsidRPr="00244226" w14:paraId="2035AC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F6D6C4" w14:textId="08BB0596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5899F7DD" w14:textId="56383866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701" w:type="dxa"/>
            <w:vAlign w:val="bottom"/>
          </w:tcPr>
          <w:p w14:paraId="25C6D13F" w14:textId="42A6B7B7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842" w:type="dxa"/>
            <w:vAlign w:val="bottom"/>
          </w:tcPr>
          <w:p w14:paraId="5756304F" w14:textId="6824A12E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692" w:type="dxa"/>
            <w:vAlign w:val="bottom"/>
          </w:tcPr>
          <w:p w14:paraId="2088190C" w14:textId="396F1E43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1.285 €</w:t>
            </w:r>
          </w:p>
        </w:tc>
      </w:tr>
      <w:tr w:rsidR="00E9484B" w:rsidRPr="00244226" w14:paraId="1405E26B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309E29" w14:textId="1BB622F6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52305A05" w14:textId="72AB63F8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23FA4477" w14:textId="51E176B3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842" w:type="dxa"/>
            <w:vAlign w:val="bottom"/>
          </w:tcPr>
          <w:p w14:paraId="53214A1E" w14:textId="24E43114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-5,2 %</w:t>
            </w:r>
          </w:p>
        </w:tc>
        <w:tc>
          <w:tcPr>
            <w:tcW w:w="1692" w:type="dxa"/>
            <w:vAlign w:val="bottom"/>
          </w:tcPr>
          <w:p w14:paraId="3F254647" w14:textId="597C1115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2.131 €</w:t>
            </w:r>
          </w:p>
        </w:tc>
      </w:tr>
      <w:tr w:rsidR="00E9484B" w:rsidRPr="00244226" w14:paraId="500C5811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CBE76E" w14:textId="5A216A5B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697A4884" w14:textId="68FF205A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133CDCD4" w14:textId="4837ED4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42" w:type="dxa"/>
            <w:vAlign w:val="bottom"/>
          </w:tcPr>
          <w:p w14:paraId="20F06192" w14:textId="54312F4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-6,1 %</w:t>
            </w:r>
          </w:p>
        </w:tc>
        <w:tc>
          <w:tcPr>
            <w:tcW w:w="1692" w:type="dxa"/>
            <w:vAlign w:val="bottom"/>
          </w:tcPr>
          <w:p w14:paraId="40DBEC7D" w14:textId="5CAA27A4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1.660 €</w:t>
            </w:r>
          </w:p>
        </w:tc>
      </w:tr>
      <w:tr w:rsidR="00E9484B" w:rsidRPr="00244226" w14:paraId="75AB458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49B6A28" w14:textId="0B0CED6A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59443C2C" w14:textId="3E41E62D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29C5544E" w14:textId="7B52E74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42" w:type="dxa"/>
            <w:vAlign w:val="bottom"/>
          </w:tcPr>
          <w:p w14:paraId="123FF288" w14:textId="01BBADC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692" w:type="dxa"/>
            <w:vAlign w:val="bottom"/>
          </w:tcPr>
          <w:p w14:paraId="3A47F5BE" w14:textId="7F9D4EA9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1.430 €</w:t>
            </w:r>
          </w:p>
        </w:tc>
      </w:tr>
      <w:tr w:rsidR="00E9484B" w:rsidRPr="00244226" w14:paraId="3DA84E29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980FA8" w14:textId="7B25BE6D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529D8D5A" w14:textId="1FA74132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01449010" w14:textId="4588B319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42" w:type="dxa"/>
            <w:vAlign w:val="bottom"/>
          </w:tcPr>
          <w:p w14:paraId="3E576B89" w14:textId="76C78379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14,6 %</w:t>
            </w:r>
          </w:p>
        </w:tc>
        <w:tc>
          <w:tcPr>
            <w:tcW w:w="1692" w:type="dxa"/>
            <w:vAlign w:val="bottom"/>
          </w:tcPr>
          <w:p w14:paraId="3AC549AD" w14:textId="2E2133D9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3.385 €</w:t>
            </w:r>
          </w:p>
        </w:tc>
      </w:tr>
      <w:tr w:rsidR="00E9484B" w:rsidRPr="00244226" w14:paraId="6576D1E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CCB4C57" w14:textId="456C371D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1E3C9075" w14:textId="6AC92B08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147E8CE2" w14:textId="60C26085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42" w:type="dxa"/>
            <w:vAlign w:val="bottom"/>
          </w:tcPr>
          <w:p w14:paraId="55EF6C4D" w14:textId="6CC43CBA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-5,2 %</w:t>
            </w:r>
          </w:p>
        </w:tc>
        <w:tc>
          <w:tcPr>
            <w:tcW w:w="1692" w:type="dxa"/>
            <w:vAlign w:val="bottom"/>
          </w:tcPr>
          <w:p w14:paraId="5D1ABAA2" w14:textId="7EA6E525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2.390 €</w:t>
            </w:r>
          </w:p>
        </w:tc>
      </w:tr>
      <w:tr w:rsidR="00E9484B" w:rsidRPr="00244226" w14:paraId="645C5A5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60AC0C" w14:textId="7980B051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09B50342" w14:textId="64FA4A1A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004AA59D" w14:textId="1309CD70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42" w:type="dxa"/>
            <w:vAlign w:val="bottom"/>
          </w:tcPr>
          <w:p w14:paraId="4AC03913" w14:textId="786FB017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692" w:type="dxa"/>
            <w:vAlign w:val="bottom"/>
          </w:tcPr>
          <w:p w14:paraId="4B5A5ADB" w14:textId="32A7CE3F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3.842 €</w:t>
            </w:r>
          </w:p>
        </w:tc>
      </w:tr>
      <w:tr w:rsidR="00E9484B" w:rsidRPr="00244226" w14:paraId="1C6640E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020907" w14:textId="34065B2F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57213A71" w14:textId="527A002E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30CBE648" w14:textId="32C33B10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42" w:type="dxa"/>
            <w:vAlign w:val="bottom"/>
          </w:tcPr>
          <w:p w14:paraId="194E1AD8" w14:textId="353B55D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692" w:type="dxa"/>
            <w:vAlign w:val="bottom"/>
          </w:tcPr>
          <w:p w14:paraId="64689D45" w14:textId="1ADAFF5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1.706 €</w:t>
            </w:r>
          </w:p>
        </w:tc>
      </w:tr>
      <w:tr w:rsidR="00E9484B" w:rsidRPr="00244226" w14:paraId="2CECF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D39EEE" w14:textId="37344BE4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6684C3DC" w14:textId="5BFC22EA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0E5ABFFE" w14:textId="30AEF11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42" w:type="dxa"/>
            <w:vAlign w:val="bottom"/>
          </w:tcPr>
          <w:p w14:paraId="4A842A6C" w14:textId="1C90210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  <w:tc>
          <w:tcPr>
            <w:tcW w:w="1692" w:type="dxa"/>
            <w:vAlign w:val="bottom"/>
          </w:tcPr>
          <w:p w14:paraId="4B5C3F16" w14:textId="4EAF0921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1.231 €</w:t>
            </w:r>
          </w:p>
        </w:tc>
      </w:tr>
      <w:tr w:rsidR="00E9484B" w:rsidRPr="00244226" w14:paraId="2E611F4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E3574A" w14:textId="5855DCFB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1E986A88" w14:textId="5DEB22F4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583BA32B" w14:textId="0157DC92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42" w:type="dxa"/>
            <w:vAlign w:val="bottom"/>
          </w:tcPr>
          <w:p w14:paraId="02EF9891" w14:textId="261070A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7,8 %</w:t>
            </w:r>
          </w:p>
        </w:tc>
        <w:tc>
          <w:tcPr>
            <w:tcW w:w="1692" w:type="dxa"/>
            <w:vAlign w:val="bottom"/>
          </w:tcPr>
          <w:p w14:paraId="3CBCB463" w14:textId="50845C6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1.512 €</w:t>
            </w:r>
          </w:p>
        </w:tc>
      </w:tr>
      <w:tr w:rsidR="00E9484B" w:rsidRPr="00244226" w14:paraId="67746B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F97AB9" w14:textId="06276D1E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23E5F130" w14:textId="410BB55C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47627A15" w14:textId="2395563D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42" w:type="dxa"/>
            <w:vAlign w:val="bottom"/>
          </w:tcPr>
          <w:p w14:paraId="27F24196" w14:textId="0AA3010E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692" w:type="dxa"/>
            <w:vAlign w:val="bottom"/>
          </w:tcPr>
          <w:p w14:paraId="13CAD5B0" w14:textId="347FA20C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1.902 €</w:t>
            </w:r>
          </w:p>
        </w:tc>
      </w:tr>
      <w:tr w:rsidR="00E9484B" w:rsidRPr="00244226" w14:paraId="3343440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4427F4" w14:textId="26DCD1A3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69BDBF70" w14:textId="785DD3ED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2F661902" w14:textId="12412DF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42" w:type="dxa"/>
            <w:vAlign w:val="bottom"/>
          </w:tcPr>
          <w:p w14:paraId="7ADA3C16" w14:textId="609756B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-3,5 %</w:t>
            </w:r>
          </w:p>
        </w:tc>
        <w:tc>
          <w:tcPr>
            <w:tcW w:w="1692" w:type="dxa"/>
            <w:vAlign w:val="bottom"/>
          </w:tcPr>
          <w:p w14:paraId="21401A72" w14:textId="6AA4BB2D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1.699 €</w:t>
            </w:r>
          </w:p>
        </w:tc>
      </w:tr>
      <w:tr w:rsidR="00E9484B" w:rsidRPr="00244226" w14:paraId="3D949B5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695BEB9" w14:textId="6465B639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29C2948D" w14:textId="560CCE9B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28C9BACB" w14:textId="60B42C78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42" w:type="dxa"/>
            <w:vAlign w:val="bottom"/>
          </w:tcPr>
          <w:p w14:paraId="5E0FC1DB" w14:textId="4F3A7CFD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-4,1 %</w:t>
            </w:r>
          </w:p>
        </w:tc>
        <w:tc>
          <w:tcPr>
            <w:tcW w:w="1692" w:type="dxa"/>
            <w:vAlign w:val="bottom"/>
          </w:tcPr>
          <w:p w14:paraId="1D8CCCAC" w14:textId="3B375AD5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1.475 €</w:t>
            </w:r>
          </w:p>
        </w:tc>
      </w:tr>
      <w:tr w:rsidR="00E9484B" w:rsidRPr="00244226" w14:paraId="77D198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918C6BB" w14:textId="08F31DDA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168CB127" w14:textId="5ADDFA4E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2E74E801" w14:textId="6A0FA0EC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42" w:type="dxa"/>
            <w:vAlign w:val="bottom"/>
          </w:tcPr>
          <w:p w14:paraId="55F5491A" w14:textId="571DC711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692" w:type="dxa"/>
            <w:vAlign w:val="bottom"/>
          </w:tcPr>
          <w:p w14:paraId="3E024303" w14:textId="1F5689D9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2.430 €</w:t>
            </w:r>
          </w:p>
        </w:tc>
      </w:tr>
      <w:tr w:rsidR="00E9484B" w:rsidRPr="00244226" w14:paraId="7CA7D2B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ED0070D" w14:textId="5896ED89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4DAB4594" w14:textId="38E44731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3E992006" w14:textId="17968FC7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42" w:type="dxa"/>
            <w:vAlign w:val="bottom"/>
          </w:tcPr>
          <w:p w14:paraId="136E572E" w14:textId="29DB8FF1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4,7 %</w:t>
            </w:r>
          </w:p>
        </w:tc>
        <w:tc>
          <w:tcPr>
            <w:tcW w:w="1692" w:type="dxa"/>
            <w:vAlign w:val="bottom"/>
          </w:tcPr>
          <w:p w14:paraId="0B1340C1" w14:textId="697328C3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2.118 €</w:t>
            </w:r>
          </w:p>
        </w:tc>
      </w:tr>
      <w:tr w:rsidR="00E9484B" w:rsidRPr="00244226" w14:paraId="16A6222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D4B0BC5" w14:textId="19AD9C30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530F7063" w14:textId="227D477D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12576E6B" w14:textId="677A5084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42" w:type="dxa"/>
            <w:vAlign w:val="bottom"/>
          </w:tcPr>
          <w:p w14:paraId="3F33BA4A" w14:textId="0C6BAEB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692" w:type="dxa"/>
            <w:vAlign w:val="bottom"/>
          </w:tcPr>
          <w:p w14:paraId="3E7E844C" w14:textId="618945C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2.040 €</w:t>
            </w:r>
          </w:p>
        </w:tc>
      </w:tr>
      <w:tr w:rsidR="00E9484B" w:rsidRPr="00244226" w14:paraId="2DBD7D2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E7974D4" w14:textId="2B5683E5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1483E579" w14:textId="1E0E4064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2307218F" w14:textId="2D5E57F5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42" w:type="dxa"/>
            <w:vAlign w:val="bottom"/>
          </w:tcPr>
          <w:p w14:paraId="639F332E" w14:textId="05CA8FEC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8,6 %</w:t>
            </w:r>
          </w:p>
        </w:tc>
        <w:tc>
          <w:tcPr>
            <w:tcW w:w="1692" w:type="dxa"/>
            <w:vAlign w:val="bottom"/>
          </w:tcPr>
          <w:p w14:paraId="6D7B4972" w14:textId="6976A2C4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2.139 €</w:t>
            </w:r>
          </w:p>
        </w:tc>
      </w:tr>
      <w:tr w:rsidR="00E9484B" w:rsidRPr="00244226" w14:paraId="0AFF192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977C40B" w14:textId="7178E2EA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62A8C9A3" w14:textId="125BCDCC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004C64C9" w14:textId="6491F59A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842" w:type="dxa"/>
            <w:vAlign w:val="bottom"/>
          </w:tcPr>
          <w:p w14:paraId="0DC31C15" w14:textId="50EE9A89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7,5 %</w:t>
            </w:r>
          </w:p>
        </w:tc>
        <w:tc>
          <w:tcPr>
            <w:tcW w:w="1692" w:type="dxa"/>
            <w:vAlign w:val="bottom"/>
          </w:tcPr>
          <w:p w14:paraId="111919CA" w14:textId="01356C2E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1.626 €</w:t>
            </w:r>
          </w:p>
        </w:tc>
      </w:tr>
      <w:tr w:rsidR="00E9484B" w:rsidRPr="00244226" w14:paraId="1BE1A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74D718" w14:textId="0D718508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586CB5A0" w14:textId="1A7B7B4C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5D809B8E" w14:textId="03126097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842" w:type="dxa"/>
            <w:vAlign w:val="bottom"/>
          </w:tcPr>
          <w:p w14:paraId="29DC8E06" w14:textId="4FBFF209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1692" w:type="dxa"/>
            <w:vAlign w:val="bottom"/>
          </w:tcPr>
          <w:p w14:paraId="0D414430" w14:textId="4F4AFFD0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2.344 €</w:t>
            </w:r>
          </w:p>
        </w:tc>
      </w:tr>
      <w:tr w:rsidR="00E9484B" w:rsidRPr="00244226" w14:paraId="20C5031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E755D3" w14:textId="4369C438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Lleida</w:t>
            </w:r>
          </w:p>
        </w:tc>
        <w:tc>
          <w:tcPr>
            <w:tcW w:w="2268" w:type="dxa"/>
            <w:vAlign w:val="bottom"/>
          </w:tcPr>
          <w:p w14:paraId="34D44171" w14:textId="5A08D7DF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4DDF51F5" w14:textId="6D16423D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842" w:type="dxa"/>
            <w:vAlign w:val="bottom"/>
          </w:tcPr>
          <w:p w14:paraId="0B580FE7" w14:textId="09FA5DDA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-3,8 %</w:t>
            </w:r>
          </w:p>
        </w:tc>
        <w:tc>
          <w:tcPr>
            <w:tcW w:w="1692" w:type="dxa"/>
            <w:vAlign w:val="bottom"/>
          </w:tcPr>
          <w:p w14:paraId="4C66D9F9" w14:textId="62E395C3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1.177 €</w:t>
            </w:r>
          </w:p>
        </w:tc>
      </w:tr>
      <w:tr w:rsidR="00E9484B" w:rsidRPr="00244226" w14:paraId="1462687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571B0" w14:textId="7D6635D5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6EB733F8" w14:textId="1B273CE9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701" w:type="dxa"/>
            <w:vAlign w:val="bottom"/>
          </w:tcPr>
          <w:p w14:paraId="0551926E" w14:textId="47785025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42" w:type="dxa"/>
            <w:vAlign w:val="bottom"/>
          </w:tcPr>
          <w:p w14:paraId="256B37A4" w14:textId="4D6D6FC4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0,0 %</w:t>
            </w:r>
          </w:p>
        </w:tc>
        <w:tc>
          <w:tcPr>
            <w:tcW w:w="1692" w:type="dxa"/>
            <w:vAlign w:val="bottom"/>
          </w:tcPr>
          <w:p w14:paraId="1D425277" w14:textId="0FC349BE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1.330 €</w:t>
            </w:r>
          </w:p>
        </w:tc>
      </w:tr>
      <w:tr w:rsidR="00E9484B" w:rsidRPr="00244226" w14:paraId="2E2DB8A9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E4D55EC" w14:textId="1ADA8E34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17E61248" w14:textId="5F1A8709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70581BEF" w14:textId="25894A5C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42" w:type="dxa"/>
            <w:vAlign w:val="bottom"/>
          </w:tcPr>
          <w:p w14:paraId="7F34A079" w14:textId="6E1EDE2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692" w:type="dxa"/>
            <w:vAlign w:val="bottom"/>
          </w:tcPr>
          <w:p w14:paraId="20FD3D84" w14:textId="1D73E388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4.429 €</w:t>
            </w:r>
          </w:p>
        </w:tc>
      </w:tr>
      <w:tr w:rsidR="00E9484B" w:rsidRPr="00244226" w14:paraId="0576F47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B11FEB7" w14:textId="055EA8F1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6C658BB8" w14:textId="2D858391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0EADF880" w14:textId="1E0C20EF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-0,05 %</w:t>
            </w:r>
          </w:p>
        </w:tc>
        <w:tc>
          <w:tcPr>
            <w:tcW w:w="1842" w:type="dxa"/>
            <w:vAlign w:val="bottom"/>
          </w:tcPr>
          <w:p w14:paraId="4322F448" w14:textId="1E77A17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1692" w:type="dxa"/>
            <w:vAlign w:val="bottom"/>
          </w:tcPr>
          <w:p w14:paraId="2F024753" w14:textId="6D099463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2.990 €</w:t>
            </w:r>
          </w:p>
        </w:tc>
      </w:tr>
      <w:tr w:rsidR="00E9484B" w:rsidRPr="00244226" w14:paraId="1C4AB205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F8D9E13" w14:textId="2524D946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6F609C2" w14:textId="2BE78409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17E11C90" w14:textId="6F24F17D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0,01 %</w:t>
            </w:r>
          </w:p>
        </w:tc>
        <w:tc>
          <w:tcPr>
            <w:tcW w:w="1842" w:type="dxa"/>
            <w:vAlign w:val="bottom"/>
          </w:tcPr>
          <w:p w14:paraId="321185EC" w14:textId="039249D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-5,2 %</w:t>
            </w:r>
          </w:p>
        </w:tc>
        <w:tc>
          <w:tcPr>
            <w:tcW w:w="1692" w:type="dxa"/>
            <w:vAlign w:val="bottom"/>
          </w:tcPr>
          <w:p w14:paraId="654B7EC1" w14:textId="312A8762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2.327 €</w:t>
            </w:r>
          </w:p>
        </w:tc>
      </w:tr>
      <w:tr w:rsidR="00E9484B" w:rsidRPr="00244226" w14:paraId="670E91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9C1F9D" w14:textId="6BEF2FE0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1875B3E9" w14:textId="49381D57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7683BE71" w14:textId="6850AA3B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842" w:type="dxa"/>
            <w:vAlign w:val="bottom"/>
          </w:tcPr>
          <w:p w14:paraId="372DFC39" w14:textId="7A9C5678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692" w:type="dxa"/>
            <w:vAlign w:val="bottom"/>
          </w:tcPr>
          <w:p w14:paraId="7A31E441" w14:textId="419DBA94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1.339 €</w:t>
            </w:r>
          </w:p>
        </w:tc>
      </w:tr>
      <w:tr w:rsidR="00E9484B" w:rsidRPr="00244226" w14:paraId="473BEA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4711DF" w14:textId="5A9AACF8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6F855E84" w14:textId="14C9FC81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6A87EB3B" w14:textId="69BB0F8B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842" w:type="dxa"/>
            <w:vAlign w:val="bottom"/>
          </w:tcPr>
          <w:p w14:paraId="7B582B3E" w14:textId="479CB513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692" w:type="dxa"/>
            <w:vAlign w:val="bottom"/>
          </w:tcPr>
          <w:p w14:paraId="007FF08C" w14:textId="67E2778A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1.660 €</w:t>
            </w:r>
          </w:p>
        </w:tc>
      </w:tr>
      <w:tr w:rsidR="00E9484B" w:rsidRPr="00244226" w14:paraId="1F6B6F6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0A4C5B4" w14:textId="2C33A36B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2C417DEE" w14:textId="2BC712D0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6788F0BF" w14:textId="3B24EF7F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842" w:type="dxa"/>
            <w:vAlign w:val="bottom"/>
          </w:tcPr>
          <w:p w14:paraId="0B88AEB3" w14:textId="378E41C2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8,5 %</w:t>
            </w:r>
          </w:p>
        </w:tc>
        <w:tc>
          <w:tcPr>
            <w:tcW w:w="1692" w:type="dxa"/>
            <w:vAlign w:val="bottom"/>
          </w:tcPr>
          <w:p w14:paraId="15A2BE4E" w14:textId="7CEC326D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5.512 €</w:t>
            </w:r>
          </w:p>
        </w:tc>
      </w:tr>
      <w:tr w:rsidR="00E9484B" w:rsidRPr="00244226" w14:paraId="4B6DA924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9EB888" w14:textId="45F6D08B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1F1A36FD" w14:textId="4A559401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4BBC4BDF" w14:textId="56741550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842" w:type="dxa"/>
            <w:vAlign w:val="bottom"/>
          </w:tcPr>
          <w:p w14:paraId="11B77A30" w14:textId="62B2C9A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7,1 %</w:t>
            </w:r>
          </w:p>
        </w:tc>
        <w:tc>
          <w:tcPr>
            <w:tcW w:w="1692" w:type="dxa"/>
            <w:vAlign w:val="bottom"/>
          </w:tcPr>
          <w:p w14:paraId="46D7448D" w14:textId="136CF19F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1.638 €</w:t>
            </w:r>
          </w:p>
        </w:tc>
      </w:tr>
      <w:tr w:rsidR="00E9484B" w:rsidRPr="00244226" w14:paraId="4DF53E7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FEB4B3" w14:textId="5345DBF1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6E672312" w14:textId="1CA11EC6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05B966E6" w14:textId="3A413C88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842" w:type="dxa"/>
            <w:vAlign w:val="bottom"/>
          </w:tcPr>
          <w:p w14:paraId="34AD34B0" w14:textId="0F634E14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-7,0 %</w:t>
            </w:r>
          </w:p>
        </w:tc>
        <w:tc>
          <w:tcPr>
            <w:tcW w:w="1692" w:type="dxa"/>
            <w:vAlign w:val="bottom"/>
          </w:tcPr>
          <w:p w14:paraId="73CB0113" w14:textId="5FD5A599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2.275 €</w:t>
            </w:r>
          </w:p>
        </w:tc>
      </w:tr>
      <w:tr w:rsidR="00E9484B" w:rsidRPr="00244226" w14:paraId="463C951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46B6D12" w14:textId="1757C962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38442AB3" w14:textId="1E65A02F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2A26E2BB" w14:textId="5E4416C2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842" w:type="dxa"/>
            <w:vAlign w:val="bottom"/>
          </w:tcPr>
          <w:p w14:paraId="30D4E146" w14:textId="689842D9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9,0 %</w:t>
            </w:r>
          </w:p>
        </w:tc>
        <w:tc>
          <w:tcPr>
            <w:tcW w:w="1692" w:type="dxa"/>
            <w:vAlign w:val="bottom"/>
          </w:tcPr>
          <w:p w14:paraId="71D2FCE3" w14:textId="5F99C65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1.538 €</w:t>
            </w:r>
          </w:p>
        </w:tc>
      </w:tr>
      <w:tr w:rsidR="00E9484B" w:rsidRPr="00244226" w14:paraId="18B3E7E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D305A51" w14:textId="247258A3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6305896D" w14:textId="2F955CC3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6675F6AF" w14:textId="004568D8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842" w:type="dxa"/>
            <w:vAlign w:val="bottom"/>
          </w:tcPr>
          <w:p w14:paraId="56857A7A" w14:textId="3945949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692" w:type="dxa"/>
            <w:vAlign w:val="bottom"/>
          </w:tcPr>
          <w:p w14:paraId="59B89188" w14:textId="1C0DB4FE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1.345 €</w:t>
            </w:r>
          </w:p>
        </w:tc>
      </w:tr>
      <w:tr w:rsidR="00E9484B" w:rsidRPr="00244226" w14:paraId="376B25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D32B34" w14:textId="7A220F59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682D57E2" w14:textId="18E54BE5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2E916BD1" w14:textId="0EE043F4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842" w:type="dxa"/>
            <w:vAlign w:val="bottom"/>
          </w:tcPr>
          <w:p w14:paraId="1BE20E4A" w14:textId="0BF618E8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692" w:type="dxa"/>
            <w:vAlign w:val="bottom"/>
          </w:tcPr>
          <w:p w14:paraId="4A4AECCC" w14:textId="7A74316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1.324 €</w:t>
            </w:r>
          </w:p>
        </w:tc>
      </w:tr>
      <w:tr w:rsidR="00E9484B" w:rsidRPr="00244226" w14:paraId="237B1A44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48F4AF6" w14:textId="4341BA5D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283B7F0F" w14:textId="0B129EBD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701" w:type="dxa"/>
            <w:vAlign w:val="bottom"/>
          </w:tcPr>
          <w:p w14:paraId="0D862510" w14:textId="02425FD1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842" w:type="dxa"/>
            <w:vAlign w:val="bottom"/>
          </w:tcPr>
          <w:p w14:paraId="6E489CA5" w14:textId="2B2B9CAE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-5,9 %</w:t>
            </w:r>
          </w:p>
        </w:tc>
        <w:tc>
          <w:tcPr>
            <w:tcW w:w="1692" w:type="dxa"/>
            <w:vAlign w:val="bottom"/>
          </w:tcPr>
          <w:p w14:paraId="72AE4ADE" w14:textId="2AEFBF33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1.212 €</w:t>
            </w:r>
          </w:p>
        </w:tc>
      </w:tr>
      <w:tr w:rsidR="00E9484B" w:rsidRPr="00244226" w14:paraId="0ABB86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4AB60AB" w14:textId="604701B9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7DA86246" w14:textId="4533FED4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3FCF15AF" w14:textId="369FE960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842" w:type="dxa"/>
            <w:vAlign w:val="bottom"/>
          </w:tcPr>
          <w:p w14:paraId="067FB6F7" w14:textId="479F25A1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692" w:type="dxa"/>
            <w:vAlign w:val="bottom"/>
          </w:tcPr>
          <w:p w14:paraId="6C9AD3C8" w14:textId="3297CF4C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1.917 €</w:t>
            </w:r>
          </w:p>
        </w:tc>
      </w:tr>
      <w:tr w:rsidR="00E9484B" w:rsidRPr="00244226" w14:paraId="582B73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1F38A3" w14:textId="52EAA5D8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63CCB9A7" w14:textId="22A044D6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701" w:type="dxa"/>
            <w:vAlign w:val="bottom"/>
          </w:tcPr>
          <w:p w14:paraId="3FFB1FD9" w14:textId="48203BC0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842" w:type="dxa"/>
            <w:vAlign w:val="bottom"/>
          </w:tcPr>
          <w:p w14:paraId="20019C0E" w14:textId="191E2401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692" w:type="dxa"/>
            <w:vAlign w:val="bottom"/>
          </w:tcPr>
          <w:p w14:paraId="78CC7EDA" w14:textId="4835B203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1.794 €</w:t>
            </w:r>
          </w:p>
        </w:tc>
      </w:tr>
      <w:tr w:rsidR="00E9484B" w:rsidRPr="00244226" w14:paraId="65DBC492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5EC44E8" w14:textId="62CA6F86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241C2730" w14:textId="32A236B5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67182B09" w14:textId="2D9C73A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842" w:type="dxa"/>
            <w:vAlign w:val="bottom"/>
          </w:tcPr>
          <w:p w14:paraId="2537E6DE" w14:textId="2BCA808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5,1 %</w:t>
            </w:r>
          </w:p>
        </w:tc>
        <w:tc>
          <w:tcPr>
            <w:tcW w:w="1692" w:type="dxa"/>
            <w:vAlign w:val="bottom"/>
          </w:tcPr>
          <w:p w14:paraId="6CA08A05" w14:textId="0D44759C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1.279 €</w:t>
            </w:r>
          </w:p>
        </w:tc>
      </w:tr>
      <w:tr w:rsidR="00E9484B" w:rsidRPr="00244226" w14:paraId="4C7AB3D8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10FE77" w14:textId="35F32738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15FEE483" w14:textId="0E9AA571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6E9141CA" w14:textId="3B4B9D1A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842" w:type="dxa"/>
            <w:vAlign w:val="bottom"/>
          </w:tcPr>
          <w:p w14:paraId="5595D82B" w14:textId="7036110B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692" w:type="dxa"/>
            <w:vAlign w:val="bottom"/>
          </w:tcPr>
          <w:p w14:paraId="7092D823" w14:textId="1396F559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1.644 €</w:t>
            </w:r>
          </w:p>
        </w:tc>
      </w:tr>
      <w:tr w:rsidR="00E9484B" w:rsidRPr="00244226" w14:paraId="7EFE94A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524C7F" w14:textId="1CD6898F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624D749C" w14:textId="45D1B757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701" w:type="dxa"/>
            <w:vAlign w:val="bottom"/>
          </w:tcPr>
          <w:p w14:paraId="507F61A8" w14:textId="4E36924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842" w:type="dxa"/>
            <w:vAlign w:val="bottom"/>
          </w:tcPr>
          <w:p w14:paraId="41D253D5" w14:textId="12BB228C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692" w:type="dxa"/>
            <w:vAlign w:val="bottom"/>
          </w:tcPr>
          <w:p w14:paraId="3CE6D823" w14:textId="72C87D10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1.355 €</w:t>
            </w:r>
          </w:p>
        </w:tc>
      </w:tr>
      <w:tr w:rsidR="00E9484B" w:rsidRPr="00244226" w14:paraId="21FEA5F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79A8226" w14:textId="7851A039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4D7FA26D" w14:textId="3F0EC5E5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34871966" w14:textId="349E5578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842" w:type="dxa"/>
            <w:vAlign w:val="bottom"/>
          </w:tcPr>
          <w:p w14:paraId="3DE623D0" w14:textId="2A4B2320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692" w:type="dxa"/>
            <w:vAlign w:val="bottom"/>
          </w:tcPr>
          <w:p w14:paraId="40F8C086" w14:textId="1EDE853E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1.281 €</w:t>
            </w:r>
          </w:p>
        </w:tc>
      </w:tr>
      <w:tr w:rsidR="00E9484B" w:rsidRPr="00244226" w14:paraId="435991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3244BB" w14:textId="5D2CB826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40839CC4" w14:textId="2A6949B6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1421D516" w14:textId="57C18B1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1842" w:type="dxa"/>
            <w:vAlign w:val="bottom"/>
          </w:tcPr>
          <w:p w14:paraId="70F86436" w14:textId="558D6C02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11,8 %</w:t>
            </w:r>
          </w:p>
        </w:tc>
        <w:tc>
          <w:tcPr>
            <w:tcW w:w="1692" w:type="dxa"/>
            <w:vAlign w:val="bottom"/>
          </w:tcPr>
          <w:p w14:paraId="042966CE" w14:textId="750D2B86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1.384 €</w:t>
            </w:r>
          </w:p>
        </w:tc>
      </w:tr>
      <w:tr w:rsidR="00E9484B" w:rsidRPr="00244226" w14:paraId="333AF3B6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99AC3C2" w14:textId="6A55EF0A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0154B575" w14:textId="51DB5F97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29C20406" w14:textId="0A2B13AC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1842" w:type="dxa"/>
            <w:vAlign w:val="bottom"/>
          </w:tcPr>
          <w:p w14:paraId="13212EB4" w14:textId="24482B8D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4,8 %</w:t>
            </w:r>
          </w:p>
        </w:tc>
        <w:tc>
          <w:tcPr>
            <w:tcW w:w="1692" w:type="dxa"/>
            <w:vAlign w:val="bottom"/>
          </w:tcPr>
          <w:p w14:paraId="7B096A2B" w14:textId="126C2BDB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1.370 €</w:t>
            </w:r>
          </w:p>
        </w:tc>
      </w:tr>
      <w:tr w:rsidR="00E9484B" w:rsidRPr="00244226" w14:paraId="43C2535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A4678D" w14:textId="5A643AD9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792595A3" w14:textId="744D05D3" w:rsidR="00E9484B" w:rsidRPr="00E9484B" w:rsidRDefault="00E9484B" w:rsidP="00E9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31EA9383" w14:textId="55D3C5E1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1842" w:type="dxa"/>
            <w:vAlign w:val="bottom"/>
          </w:tcPr>
          <w:p w14:paraId="0F29E7D4" w14:textId="1C304F18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692" w:type="dxa"/>
            <w:vAlign w:val="bottom"/>
          </w:tcPr>
          <w:p w14:paraId="55AF5E52" w14:textId="26DF3DF7" w:rsidR="00E9484B" w:rsidRPr="00244226" w:rsidRDefault="00E9484B" w:rsidP="00E94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1.837 €</w:t>
            </w:r>
          </w:p>
        </w:tc>
      </w:tr>
      <w:tr w:rsidR="00E9484B" w:rsidRPr="00244226" w14:paraId="32CD9D0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105265A" w14:textId="025172B0" w:rsidR="00E9484B" w:rsidRPr="00E9484B" w:rsidRDefault="00E9484B" w:rsidP="00E9484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0D9CFF13" w14:textId="472BB273" w:rsidR="00E9484B" w:rsidRPr="00E9484B" w:rsidRDefault="00E9484B" w:rsidP="00E9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9484B">
              <w:rPr>
                <w:rFonts w:ascii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701" w:type="dxa"/>
            <w:vAlign w:val="bottom"/>
          </w:tcPr>
          <w:p w14:paraId="5AF22E1A" w14:textId="1ACD98B7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2,1 %</w:t>
            </w:r>
          </w:p>
        </w:tc>
        <w:tc>
          <w:tcPr>
            <w:tcW w:w="1842" w:type="dxa"/>
            <w:vAlign w:val="bottom"/>
          </w:tcPr>
          <w:p w14:paraId="17DF901D" w14:textId="2BAC9089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-16,2 %</w:t>
            </w:r>
          </w:p>
        </w:tc>
        <w:tc>
          <w:tcPr>
            <w:tcW w:w="1692" w:type="dxa"/>
            <w:vAlign w:val="bottom"/>
          </w:tcPr>
          <w:p w14:paraId="76A854E4" w14:textId="390ADB7B" w:rsidR="00E9484B" w:rsidRPr="00244226" w:rsidRDefault="00E9484B" w:rsidP="00E94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1.309 €</w:t>
            </w:r>
          </w:p>
        </w:tc>
      </w:tr>
    </w:tbl>
    <w:p w14:paraId="0DD75479" w14:textId="4B13C8A6" w:rsidR="003B7640" w:rsidRDefault="008F0AF1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</w:t>
      </w:r>
    </w:p>
    <w:p w14:paraId="3F7ABBFD" w14:textId="200DD9E1" w:rsidR="00144783" w:rsidRDefault="00753088" w:rsidP="00144783">
      <w:pPr>
        <w:spacing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144783"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144783">
        <w:rPr>
          <w:rFonts w:ascii="Open Sans" w:hAnsi="Open Sans" w:cs="Open Sans"/>
          <w:color w:val="000000"/>
        </w:rPr>
        <w:t>50%</w:t>
      </w:r>
      <w:r w:rsidR="00B4510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 xml:space="preserve">de los </w:t>
      </w:r>
      <w:r w:rsidR="00F970B0">
        <w:rPr>
          <w:rFonts w:ascii="Open Sans" w:hAnsi="Open Sans" w:cs="Open Sans"/>
          <w:color w:val="000000"/>
        </w:rPr>
        <w:t>7</w:t>
      </w:r>
      <w:r w:rsidR="00144783">
        <w:rPr>
          <w:rFonts w:ascii="Open Sans" w:hAnsi="Open Sans" w:cs="Open Sans"/>
          <w:color w:val="000000"/>
        </w:rPr>
        <w:t>34</w:t>
      </w:r>
      <w:r w:rsidR="00B4510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municipios</w:t>
      </w:r>
      <w:r w:rsidR="0055534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con variación </w:t>
      </w:r>
      <w:r w:rsidR="00FE40AF">
        <w:rPr>
          <w:rFonts w:ascii="Open Sans" w:hAnsi="Open Sans" w:cs="Open Sans"/>
          <w:color w:val="000000"/>
        </w:rPr>
        <w:t>mensual</w:t>
      </w:r>
      <w:r w:rsidR="004D6C3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analizados </w:t>
      </w:r>
      <w:r w:rsidRPr="00753088">
        <w:rPr>
          <w:rFonts w:ascii="Open Sans" w:hAnsi="Open Sans" w:cs="Open Sans"/>
          <w:color w:val="000000"/>
        </w:rPr>
        <w:t xml:space="preserve">por </w:t>
      </w:r>
      <w:hyperlink r:id="rId14" w:history="1">
        <w:r w:rsidR="00F9355C" w:rsidRPr="006443B7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DF48B8">
        <w:rPr>
          <w:rFonts w:ascii="Open Sans" w:hAnsi="Open Sans" w:cs="Open Sans"/>
          <w:color w:val="000000"/>
        </w:rPr>
        <w:t xml:space="preserve">Los mayores </w:t>
      </w:r>
      <w:r w:rsidR="00144783">
        <w:rPr>
          <w:rFonts w:ascii="Open Sans" w:hAnsi="Open Sans" w:cs="Open Sans"/>
          <w:color w:val="000000"/>
        </w:rPr>
        <w:t>incrementos</w:t>
      </w:r>
      <w:r w:rsidR="00DF48B8">
        <w:rPr>
          <w:rFonts w:ascii="Open Sans" w:hAnsi="Open Sans" w:cs="Open Sans"/>
          <w:color w:val="000000"/>
        </w:rPr>
        <w:t xml:space="preserve"> mensuales </w:t>
      </w:r>
      <w:r w:rsidR="0076708E">
        <w:rPr>
          <w:rFonts w:ascii="Open Sans" w:hAnsi="Open Sans" w:cs="Open Sans"/>
          <w:color w:val="000000"/>
        </w:rPr>
        <w:t xml:space="preserve">se </w:t>
      </w:r>
      <w:r w:rsidR="00DF48B8">
        <w:rPr>
          <w:rFonts w:ascii="Open Sans" w:hAnsi="Open Sans" w:cs="Open Sans"/>
          <w:color w:val="000000"/>
        </w:rPr>
        <w:t xml:space="preserve">registran </w:t>
      </w:r>
      <w:r w:rsidR="00556C26">
        <w:rPr>
          <w:rFonts w:ascii="Open Sans" w:hAnsi="Open Sans" w:cs="Open Sans"/>
          <w:color w:val="000000"/>
        </w:rPr>
        <w:t xml:space="preserve">en </w:t>
      </w:r>
      <w:r w:rsidR="00144783">
        <w:rPr>
          <w:rFonts w:ascii="Open Sans" w:hAnsi="Open Sans" w:cs="Open Sans"/>
          <w:color w:val="000000"/>
        </w:rPr>
        <w:t>Oliva</w:t>
      </w:r>
      <w:r w:rsidR="0076708E">
        <w:rPr>
          <w:rFonts w:ascii="Open Sans" w:hAnsi="Open Sans" w:cs="Open Sans"/>
          <w:color w:val="000000"/>
        </w:rPr>
        <w:t xml:space="preserve"> (</w:t>
      </w:r>
      <w:r w:rsidR="00144783">
        <w:rPr>
          <w:rFonts w:ascii="Open Sans" w:hAnsi="Open Sans" w:cs="Open Sans"/>
          <w:color w:val="000000"/>
        </w:rPr>
        <w:t>Valencia</w:t>
      </w:r>
      <w:r w:rsidR="0076708E">
        <w:rPr>
          <w:rFonts w:ascii="Open Sans" w:hAnsi="Open Sans" w:cs="Open Sans"/>
          <w:color w:val="000000"/>
        </w:rPr>
        <w:t xml:space="preserve">) con </w:t>
      </w:r>
      <w:r w:rsidR="00144783">
        <w:rPr>
          <w:rFonts w:ascii="Open Sans" w:hAnsi="Open Sans" w:cs="Open Sans"/>
          <w:color w:val="000000"/>
        </w:rPr>
        <w:t>17,3</w:t>
      </w:r>
      <w:r w:rsidR="0076708E">
        <w:rPr>
          <w:rFonts w:ascii="Open Sans" w:hAnsi="Open Sans" w:cs="Open Sans"/>
          <w:color w:val="000000"/>
        </w:rPr>
        <w:t>%</w:t>
      </w:r>
      <w:r w:rsidR="00144783">
        <w:rPr>
          <w:rFonts w:ascii="Open Sans" w:hAnsi="Open Sans" w:cs="Open Sans"/>
          <w:color w:val="000000"/>
        </w:rPr>
        <w:t xml:space="preserve">. </w:t>
      </w:r>
      <w:r w:rsidR="0076708E">
        <w:rPr>
          <w:rFonts w:ascii="Open Sans" w:hAnsi="Open Sans" w:cs="Open Sans"/>
          <w:color w:val="000000"/>
        </w:rPr>
        <w:t xml:space="preserve">Le siguen, </w:t>
      </w:r>
      <w:r w:rsidR="00144783">
        <w:rPr>
          <w:rFonts w:ascii="Open Sans" w:hAnsi="Open Sans" w:cs="Open Sans"/>
          <w:color w:val="000000"/>
        </w:rPr>
        <w:t>Tordera</w:t>
      </w:r>
      <w:r w:rsidR="0076708E">
        <w:rPr>
          <w:rFonts w:ascii="Open Sans" w:hAnsi="Open Sans" w:cs="Open Sans"/>
          <w:color w:val="000000"/>
        </w:rPr>
        <w:t xml:space="preserve"> (</w:t>
      </w:r>
      <w:r w:rsidR="00144783">
        <w:rPr>
          <w:rFonts w:ascii="Open Sans" w:hAnsi="Open Sans" w:cs="Open Sans"/>
          <w:color w:val="000000"/>
        </w:rPr>
        <w:t>Barcelona</w:t>
      </w:r>
      <w:r w:rsidR="0076708E">
        <w:rPr>
          <w:rFonts w:ascii="Open Sans" w:hAnsi="Open Sans" w:cs="Open Sans"/>
          <w:color w:val="000000"/>
        </w:rPr>
        <w:t xml:space="preserve">) con 17%, </w:t>
      </w:r>
      <w:r w:rsidR="00144783" w:rsidRPr="00144783">
        <w:rPr>
          <w:rFonts w:ascii="Open Sans" w:hAnsi="Open Sans" w:cs="Open Sans"/>
          <w:color w:val="000000"/>
        </w:rPr>
        <w:t>Rojales</w:t>
      </w:r>
      <w:r w:rsidR="00144783">
        <w:rPr>
          <w:rFonts w:ascii="Open Sans" w:hAnsi="Open Sans" w:cs="Open Sans"/>
          <w:color w:val="000000"/>
        </w:rPr>
        <w:t xml:space="preserve"> (Alicante) con 16,6%, </w:t>
      </w:r>
      <w:r w:rsidR="00144783" w:rsidRPr="00144783">
        <w:rPr>
          <w:rFonts w:ascii="Open Sans" w:hAnsi="Open Sans" w:cs="Open Sans"/>
          <w:color w:val="000000"/>
        </w:rPr>
        <w:t>Carballo</w:t>
      </w:r>
      <w:r w:rsidR="00144783">
        <w:rPr>
          <w:rFonts w:ascii="Open Sans" w:hAnsi="Open Sans" w:cs="Open Sans"/>
          <w:color w:val="000000"/>
        </w:rPr>
        <w:t xml:space="preserve"> </w:t>
      </w:r>
      <w:r w:rsidR="00144783">
        <w:t>(</w:t>
      </w:r>
      <w:r w:rsidR="00144783" w:rsidRPr="00144783">
        <w:rPr>
          <w:rFonts w:ascii="Open Sans" w:hAnsi="Open Sans" w:cs="Open Sans"/>
          <w:color w:val="000000"/>
        </w:rPr>
        <w:t>A Coruña</w:t>
      </w:r>
      <w:r w:rsidR="00144783">
        <w:rPr>
          <w:rFonts w:ascii="Open Sans" w:hAnsi="Open Sans" w:cs="Open Sans"/>
          <w:color w:val="000000"/>
        </w:rPr>
        <w:t xml:space="preserve">) con 12%, </w:t>
      </w:r>
      <w:r w:rsidR="00144783" w:rsidRPr="00144783">
        <w:rPr>
          <w:rFonts w:ascii="Open Sans" w:hAnsi="Open Sans" w:cs="Open Sans"/>
          <w:color w:val="000000"/>
        </w:rPr>
        <w:t>Les Franqueses del Vallès</w:t>
      </w:r>
      <w:r w:rsidR="00144783" w:rsidRPr="00144783">
        <w:t xml:space="preserve"> </w:t>
      </w:r>
      <w:r w:rsidR="00144783">
        <w:t>(</w:t>
      </w:r>
      <w:r w:rsidR="00144783" w:rsidRPr="00144783">
        <w:rPr>
          <w:rFonts w:ascii="Open Sans" w:hAnsi="Open Sans" w:cs="Open Sans"/>
          <w:color w:val="000000"/>
        </w:rPr>
        <w:t>Barcelona</w:t>
      </w:r>
      <w:r w:rsidR="00144783">
        <w:rPr>
          <w:rFonts w:ascii="Open Sans" w:hAnsi="Open Sans" w:cs="Open Sans"/>
          <w:color w:val="000000"/>
        </w:rPr>
        <w:t xml:space="preserve">) con 11,4%, </w:t>
      </w:r>
      <w:r w:rsidR="00144783" w:rsidRPr="00144783">
        <w:rPr>
          <w:rFonts w:ascii="Open Sans" w:hAnsi="Open Sans" w:cs="Open Sans"/>
          <w:color w:val="000000"/>
        </w:rPr>
        <w:t>Alcañiz</w:t>
      </w:r>
      <w:r w:rsidR="00144783" w:rsidRPr="00144783">
        <w:t xml:space="preserve"> </w:t>
      </w:r>
      <w:r w:rsidR="00144783">
        <w:t>(</w:t>
      </w:r>
      <w:r w:rsidR="00144783" w:rsidRPr="00144783">
        <w:rPr>
          <w:rFonts w:ascii="Open Sans" w:hAnsi="Open Sans" w:cs="Open Sans"/>
          <w:color w:val="000000"/>
        </w:rPr>
        <w:t>Teruel</w:t>
      </w:r>
      <w:r w:rsidR="00144783">
        <w:rPr>
          <w:rFonts w:ascii="Open Sans" w:hAnsi="Open Sans" w:cs="Open Sans"/>
          <w:color w:val="000000"/>
        </w:rPr>
        <w:t xml:space="preserve">) con 10,8%, </w:t>
      </w:r>
      <w:r w:rsidR="00144783" w:rsidRPr="00144783">
        <w:rPr>
          <w:rFonts w:ascii="Open Sans" w:hAnsi="Open Sans" w:cs="Open Sans"/>
          <w:color w:val="000000"/>
        </w:rPr>
        <w:t>Andratx</w:t>
      </w:r>
      <w:r w:rsidR="00144783" w:rsidRPr="00144783">
        <w:t xml:space="preserve"> </w:t>
      </w:r>
      <w:r w:rsidR="00144783">
        <w:t>(</w:t>
      </w:r>
      <w:r w:rsidR="00144783" w:rsidRPr="00144783">
        <w:rPr>
          <w:rFonts w:ascii="Open Sans" w:hAnsi="Open Sans" w:cs="Open Sans"/>
          <w:color w:val="000000"/>
        </w:rPr>
        <w:t>Illes Balears</w:t>
      </w:r>
      <w:r w:rsidR="00144783">
        <w:rPr>
          <w:rFonts w:ascii="Open Sans" w:hAnsi="Open Sans" w:cs="Open Sans"/>
          <w:color w:val="000000"/>
        </w:rPr>
        <w:t xml:space="preserve">) con 10,4%, </w:t>
      </w:r>
      <w:r w:rsidR="00144783" w:rsidRPr="00144783">
        <w:rPr>
          <w:rFonts w:ascii="Open Sans" w:hAnsi="Open Sans" w:cs="Open Sans"/>
          <w:color w:val="000000"/>
        </w:rPr>
        <w:t xml:space="preserve">Peñíscola / </w:t>
      </w:r>
      <w:r w:rsidR="00144783">
        <w:t>(</w:t>
      </w:r>
      <w:proofErr w:type="spellStart"/>
      <w:r w:rsidR="00144783" w:rsidRPr="00144783">
        <w:rPr>
          <w:rFonts w:ascii="Open Sans" w:hAnsi="Open Sans" w:cs="Open Sans"/>
          <w:color w:val="000000"/>
        </w:rPr>
        <w:t>Peníscola</w:t>
      </w:r>
      <w:proofErr w:type="spellEnd"/>
      <w:r w:rsidR="00144783" w:rsidRPr="00144783">
        <w:t xml:space="preserve"> </w:t>
      </w:r>
      <w:r w:rsidR="00144783" w:rsidRPr="00144783">
        <w:rPr>
          <w:rFonts w:ascii="Open Sans" w:hAnsi="Open Sans" w:cs="Open Sans"/>
          <w:color w:val="000000"/>
        </w:rPr>
        <w:t>Castellón</w:t>
      </w:r>
      <w:r w:rsidR="00144783">
        <w:rPr>
          <w:rFonts w:ascii="Open Sans" w:hAnsi="Open Sans" w:cs="Open Sans"/>
          <w:color w:val="000000"/>
        </w:rPr>
        <w:t xml:space="preserve">) con 10,1%, </w:t>
      </w:r>
      <w:r w:rsidR="00144783" w:rsidRPr="00144783">
        <w:rPr>
          <w:rFonts w:ascii="Open Sans" w:hAnsi="Open Sans" w:cs="Open Sans"/>
          <w:color w:val="000000"/>
        </w:rPr>
        <w:t>Piles</w:t>
      </w:r>
      <w:r w:rsidR="00144783" w:rsidRPr="00144783">
        <w:t xml:space="preserve"> </w:t>
      </w:r>
      <w:r w:rsidR="00144783">
        <w:t>(</w:t>
      </w:r>
      <w:r w:rsidR="00144783" w:rsidRPr="00144783">
        <w:rPr>
          <w:rFonts w:ascii="Open Sans" w:hAnsi="Open Sans" w:cs="Open Sans"/>
          <w:color w:val="000000"/>
        </w:rPr>
        <w:t>Valencia</w:t>
      </w:r>
      <w:r w:rsidR="00144783">
        <w:rPr>
          <w:rFonts w:ascii="Open Sans" w:hAnsi="Open Sans" w:cs="Open Sans"/>
          <w:color w:val="000000"/>
        </w:rPr>
        <w:t xml:space="preserve">) con 9,4% y </w:t>
      </w:r>
      <w:r w:rsidR="00144783" w:rsidRPr="00144783">
        <w:rPr>
          <w:rFonts w:ascii="Open Sans" w:hAnsi="Open Sans" w:cs="Open Sans"/>
          <w:color w:val="000000"/>
        </w:rPr>
        <w:t>Esplugues de Llobregat</w:t>
      </w:r>
      <w:r w:rsidR="00144783" w:rsidRPr="00144783">
        <w:t xml:space="preserve"> </w:t>
      </w:r>
      <w:r w:rsidR="00144783">
        <w:t>(</w:t>
      </w:r>
      <w:r w:rsidR="00144783" w:rsidRPr="00144783">
        <w:rPr>
          <w:rFonts w:ascii="Open Sans" w:hAnsi="Open Sans" w:cs="Open Sans"/>
          <w:color w:val="000000"/>
        </w:rPr>
        <w:t>Barcelona</w:t>
      </w:r>
      <w:r w:rsidR="00144783">
        <w:rPr>
          <w:rFonts w:ascii="Open Sans" w:hAnsi="Open Sans" w:cs="Open Sans"/>
          <w:color w:val="000000"/>
        </w:rPr>
        <w:t>) con 8,9%.</w:t>
      </w:r>
    </w:p>
    <w:p w14:paraId="409C30F2" w14:textId="77777777" w:rsidR="0076708E" w:rsidRDefault="0076708E" w:rsidP="0076708E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6A801025" w14:textId="0E23509F" w:rsidR="00144783" w:rsidRDefault="0076708E" w:rsidP="008A0A2B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los municipios con los mayores </w:t>
      </w:r>
      <w:r w:rsidR="00144783">
        <w:rPr>
          <w:rFonts w:ascii="Open Sans" w:hAnsi="Open Sans" w:cs="Open Sans"/>
          <w:color w:val="000000"/>
        </w:rPr>
        <w:t>descensos</w:t>
      </w:r>
      <w:r>
        <w:rPr>
          <w:rFonts w:ascii="Open Sans" w:hAnsi="Open Sans" w:cs="Open Sans"/>
          <w:color w:val="000000"/>
        </w:rPr>
        <w:t xml:space="preserve"> son: </w:t>
      </w:r>
      <w:r w:rsidR="00144783" w:rsidRPr="00144783">
        <w:rPr>
          <w:rFonts w:ascii="Open Sans" w:hAnsi="Open Sans" w:cs="Open Sans"/>
          <w:color w:val="000000"/>
        </w:rPr>
        <w:t>Amposta</w:t>
      </w:r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Tarragona</w:t>
      </w:r>
      <w:r w:rsidR="00144783">
        <w:rPr>
          <w:rFonts w:ascii="Open Sans" w:hAnsi="Open Sans" w:cs="Open Sans"/>
          <w:color w:val="000000"/>
        </w:rPr>
        <w:t>) con</w:t>
      </w:r>
      <w:r w:rsidR="008C3A0B">
        <w:rPr>
          <w:rFonts w:ascii="Open Sans" w:hAnsi="Open Sans" w:cs="Open Sans"/>
          <w:color w:val="000000"/>
        </w:rPr>
        <w:t xml:space="preserve"> </w:t>
      </w:r>
      <w:r w:rsidR="00144783">
        <w:rPr>
          <w:rFonts w:ascii="Open Sans" w:hAnsi="Open Sans" w:cs="Open Sans"/>
          <w:color w:val="000000"/>
        </w:rPr>
        <w:t xml:space="preserve">-32,4%, </w:t>
      </w:r>
      <w:r w:rsidR="00144783" w:rsidRPr="00144783">
        <w:rPr>
          <w:rFonts w:ascii="Open Sans" w:hAnsi="Open Sans" w:cs="Open Sans"/>
          <w:color w:val="000000"/>
        </w:rPr>
        <w:t>Fuensalida</w:t>
      </w:r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Toledo</w:t>
      </w:r>
      <w:r w:rsidR="00144783">
        <w:rPr>
          <w:rFonts w:ascii="Open Sans" w:hAnsi="Open Sans" w:cs="Open Sans"/>
          <w:color w:val="000000"/>
        </w:rPr>
        <w:t xml:space="preserve">) con -28,2%, </w:t>
      </w:r>
      <w:r w:rsidR="00144783" w:rsidRPr="00144783">
        <w:rPr>
          <w:rFonts w:ascii="Open Sans" w:hAnsi="Open Sans" w:cs="Open Sans"/>
          <w:color w:val="000000"/>
        </w:rPr>
        <w:t>Écija</w:t>
      </w:r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Sevilla</w:t>
      </w:r>
      <w:r w:rsidR="00144783">
        <w:rPr>
          <w:rFonts w:ascii="Open Sans" w:hAnsi="Open Sans" w:cs="Open Sans"/>
          <w:color w:val="000000"/>
        </w:rPr>
        <w:t xml:space="preserve">) con -24,1%, </w:t>
      </w:r>
      <w:proofErr w:type="spellStart"/>
      <w:r w:rsidR="00144783" w:rsidRPr="00144783">
        <w:rPr>
          <w:rFonts w:ascii="Open Sans" w:hAnsi="Open Sans" w:cs="Open Sans"/>
          <w:color w:val="000000"/>
        </w:rPr>
        <w:t>Yeles</w:t>
      </w:r>
      <w:proofErr w:type="spellEnd"/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Toledo</w:t>
      </w:r>
      <w:r w:rsidR="00144783">
        <w:rPr>
          <w:rFonts w:ascii="Open Sans" w:hAnsi="Open Sans" w:cs="Open Sans"/>
          <w:color w:val="000000"/>
        </w:rPr>
        <w:t xml:space="preserve">) con -21,1%, </w:t>
      </w:r>
      <w:r w:rsidR="00144783" w:rsidRPr="00144783">
        <w:rPr>
          <w:rFonts w:ascii="Open Sans" w:hAnsi="Open Sans" w:cs="Open Sans"/>
          <w:color w:val="000000"/>
        </w:rPr>
        <w:t xml:space="preserve">La Font </w:t>
      </w:r>
      <w:proofErr w:type="spellStart"/>
      <w:r w:rsidR="00144783" w:rsidRPr="00144783">
        <w:rPr>
          <w:rFonts w:ascii="Open Sans" w:hAnsi="Open Sans" w:cs="Open Sans"/>
          <w:color w:val="000000"/>
        </w:rPr>
        <w:t>d'En</w:t>
      </w:r>
      <w:proofErr w:type="spellEnd"/>
      <w:r w:rsidR="00144783" w:rsidRPr="00144783">
        <w:rPr>
          <w:rFonts w:ascii="Open Sans" w:hAnsi="Open Sans" w:cs="Open Sans"/>
          <w:color w:val="000000"/>
        </w:rPr>
        <w:t xml:space="preserve"> </w:t>
      </w:r>
      <w:proofErr w:type="spellStart"/>
      <w:r w:rsidR="00144783" w:rsidRPr="00144783">
        <w:rPr>
          <w:rFonts w:ascii="Open Sans" w:hAnsi="Open Sans" w:cs="Open Sans"/>
          <w:color w:val="000000"/>
        </w:rPr>
        <w:t>Carròs</w:t>
      </w:r>
      <w:proofErr w:type="spellEnd"/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Valencia</w:t>
      </w:r>
      <w:r w:rsidR="00144783">
        <w:rPr>
          <w:rFonts w:ascii="Open Sans" w:hAnsi="Open Sans" w:cs="Open Sans"/>
          <w:color w:val="000000"/>
        </w:rPr>
        <w:t xml:space="preserve">) con </w:t>
      </w:r>
      <w:r w:rsidR="00CC2E07">
        <w:rPr>
          <w:rFonts w:ascii="Open Sans" w:hAnsi="Open Sans" w:cs="Open Sans"/>
          <w:color w:val="000000"/>
        </w:rPr>
        <w:t>-17,3</w:t>
      </w:r>
      <w:r w:rsidR="00144783">
        <w:rPr>
          <w:rFonts w:ascii="Open Sans" w:hAnsi="Open Sans" w:cs="Open Sans"/>
          <w:color w:val="000000"/>
        </w:rPr>
        <w:t xml:space="preserve">%, </w:t>
      </w:r>
      <w:proofErr w:type="spellStart"/>
      <w:r w:rsidR="00144783" w:rsidRPr="00144783">
        <w:rPr>
          <w:rFonts w:ascii="Open Sans" w:hAnsi="Open Sans" w:cs="Open Sans"/>
          <w:color w:val="000000"/>
        </w:rPr>
        <w:t>L'Olleria</w:t>
      </w:r>
      <w:proofErr w:type="spellEnd"/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Valencia</w:t>
      </w:r>
      <w:r w:rsidR="00144783">
        <w:rPr>
          <w:rFonts w:ascii="Open Sans" w:hAnsi="Open Sans" w:cs="Open Sans"/>
          <w:color w:val="000000"/>
        </w:rPr>
        <w:t xml:space="preserve">) con </w:t>
      </w:r>
      <w:r w:rsidR="00CC2E07">
        <w:rPr>
          <w:rFonts w:ascii="Open Sans" w:hAnsi="Open Sans" w:cs="Open Sans"/>
          <w:color w:val="000000"/>
        </w:rPr>
        <w:t>-16,5</w:t>
      </w:r>
      <w:r w:rsidR="00144783">
        <w:rPr>
          <w:rFonts w:ascii="Open Sans" w:hAnsi="Open Sans" w:cs="Open Sans"/>
          <w:color w:val="000000"/>
        </w:rPr>
        <w:t xml:space="preserve">%, </w:t>
      </w:r>
      <w:r w:rsidR="00144783" w:rsidRPr="00144783">
        <w:rPr>
          <w:rFonts w:ascii="Open Sans" w:hAnsi="Open Sans" w:cs="Open Sans"/>
          <w:color w:val="000000"/>
        </w:rPr>
        <w:t>Sallent</w:t>
      </w:r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Barcelona</w:t>
      </w:r>
      <w:r w:rsidR="00144783">
        <w:rPr>
          <w:rFonts w:ascii="Open Sans" w:hAnsi="Open Sans" w:cs="Open Sans"/>
          <w:color w:val="000000"/>
        </w:rPr>
        <w:t xml:space="preserve">) con </w:t>
      </w:r>
      <w:r w:rsidR="00CC2E07">
        <w:rPr>
          <w:rFonts w:ascii="Open Sans" w:hAnsi="Open Sans" w:cs="Open Sans"/>
          <w:color w:val="000000"/>
        </w:rPr>
        <w:t>-14,7</w:t>
      </w:r>
      <w:r w:rsidR="00144783">
        <w:rPr>
          <w:rFonts w:ascii="Open Sans" w:hAnsi="Open Sans" w:cs="Open Sans"/>
          <w:color w:val="000000"/>
        </w:rPr>
        <w:t xml:space="preserve">%, </w:t>
      </w:r>
      <w:r w:rsidR="00144783" w:rsidRPr="00144783">
        <w:rPr>
          <w:rFonts w:ascii="Open Sans" w:hAnsi="Open Sans" w:cs="Open Sans"/>
          <w:color w:val="000000"/>
        </w:rPr>
        <w:t>Arcos de la Frontera</w:t>
      </w:r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Cádiz</w:t>
      </w:r>
      <w:r w:rsidR="00144783">
        <w:rPr>
          <w:rFonts w:ascii="Open Sans" w:hAnsi="Open Sans" w:cs="Open Sans"/>
          <w:color w:val="000000"/>
        </w:rPr>
        <w:t xml:space="preserve">) con </w:t>
      </w:r>
      <w:r w:rsidR="00CC2E07">
        <w:rPr>
          <w:rFonts w:ascii="Open Sans" w:hAnsi="Open Sans" w:cs="Open Sans"/>
          <w:color w:val="000000"/>
        </w:rPr>
        <w:t>-13,8</w:t>
      </w:r>
      <w:r w:rsidR="00144783">
        <w:rPr>
          <w:rFonts w:ascii="Open Sans" w:hAnsi="Open Sans" w:cs="Open Sans"/>
          <w:color w:val="000000"/>
        </w:rPr>
        <w:t xml:space="preserve">%, </w:t>
      </w:r>
      <w:r w:rsidR="00144783" w:rsidRPr="00144783">
        <w:rPr>
          <w:rFonts w:ascii="Open Sans" w:hAnsi="Open Sans" w:cs="Open Sans"/>
          <w:color w:val="000000"/>
        </w:rPr>
        <w:t>Ripoll</w:t>
      </w:r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Girona</w:t>
      </w:r>
      <w:r w:rsidR="00144783">
        <w:rPr>
          <w:rFonts w:ascii="Open Sans" w:hAnsi="Open Sans" w:cs="Open Sans"/>
          <w:color w:val="000000"/>
        </w:rPr>
        <w:t>) con</w:t>
      </w:r>
      <w:r w:rsidR="00CC2E07">
        <w:rPr>
          <w:rFonts w:ascii="Open Sans" w:hAnsi="Open Sans" w:cs="Open Sans"/>
          <w:color w:val="000000"/>
        </w:rPr>
        <w:t xml:space="preserve"> -13,4</w:t>
      </w:r>
      <w:r w:rsidR="00144783">
        <w:rPr>
          <w:rFonts w:ascii="Open Sans" w:hAnsi="Open Sans" w:cs="Open Sans"/>
          <w:color w:val="000000"/>
        </w:rPr>
        <w:t xml:space="preserve"> % y </w:t>
      </w:r>
      <w:r w:rsidR="00144783" w:rsidRPr="00144783">
        <w:rPr>
          <w:rFonts w:ascii="Open Sans" w:hAnsi="Open Sans" w:cs="Open Sans"/>
          <w:color w:val="000000"/>
        </w:rPr>
        <w:t>Bigastro</w:t>
      </w:r>
      <w:r w:rsidR="00144783">
        <w:rPr>
          <w:rFonts w:ascii="Open Sans" w:hAnsi="Open Sans" w:cs="Open Sans"/>
          <w:color w:val="000000"/>
        </w:rPr>
        <w:t xml:space="preserve"> (</w:t>
      </w:r>
      <w:r w:rsidR="00144783" w:rsidRPr="00144783">
        <w:rPr>
          <w:rFonts w:ascii="Open Sans" w:hAnsi="Open Sans" w:cs="Open Sans"/>
          <w:color w:val="000000"/>
        </w:rPr>
        <w:t>Alicante</w:t>
      </w:r>
      <w:r w:rsidR="00144783">
        <w:rPr>
          <w:rFonts w:ascii="Open Sans" w:hAnsi="Open Sans" w:cs="Open Sans"/>
          <w:color w:val="000000"/>
        </w:rPr>
        <w:t xml:space="preserve">) con </w:t>
      </w:r>
      <w:r w:rsidR="00CC2E07">
        <w:rPr>
          <w:rFonts w:ascii="Open Sans" w:hAnsi="Open Sans" w:cs="Open Sans"/>
          <w:color w:val="000000"/>
        </w:rPr>
        <w:t>13,2</w:t>
      </w:r>
      <w:r w:rsidR="00144783">
        <w:rPr>
          <w:rFonts w:ascii="Open Sans" w:hAnsi="Open Sans" w:cs="Open Sans"/>
          <w:color w:val="000000"/>
        </w:rPr>
        <w:t>%.</w:t>
      </w:r>
    </w:p>
    <w:p w14:paraId="75F4BC6B" w14:textId="109B793F" w:rsidR="008006B9" w:rsidRDefault="003D5C3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En cuanto al precio por metro cuadrado en </w:t>
      </w:r>
      <w:r w:rsidR="00CC2E07">
        <w:rPr>
          <w:rFonts w:ascii="Open Sans" w:hAnsi="Open Sans" w:cs="Open Sans"/>
          <w:color w:val="000000"/>
        </w:rPr>
        <w:t>noviembre</w:t>
      </w:r>
      <w:r>
        <w:rPr>
          <w:rFonts w:ascii="Open Sans" w:hAnsi="Open Sans" w:cs="Open Sans"/>
          <w:color w:val="000000"/>
        </w:rPr>
        <w:t>, vemos que</w:t>
      </w:r>
      <w:r w:rsidR="008006B9">
        <w:rPr>
          <w:rFonts w:ascii="Open Sans" w:hAnsi="Open Sans" w:cs="Open Sans"/>
          <w:color w:val="000000"/>
        </w:rPr>
        <w:t xml:space="preserve"> dos </w:t>
      </w:r>
      <w:r>
        <w:rPr>
          <w:rFonts w:ascii="Open Sans" w:hAnsi="Open Sans" w:cs="Open Sans"/>
          <w:color w:val="000000"/>
        </w:rPr>
        <w:t>municipio</w:t>
      </w:r>
      <w:r w:rsidR="008006B9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supera</w:t>
      </w:r>
      <w:r w:rsidR="008006B9">
        <w:rPr>
          <w:rFonts w:ascii="Open Sans" w:hAnsi="Open Sans" w:cs="Open Sans"/>
          <w:color w:val="000000"/>
        </w:rPr>
        <w:t xml:space="preserve">n </w:t>
      </w:r>
      <w:r>
        <w:rPr>
          <w:rFonts w:ascii="Open Sans" w:hAnsi="Open Sans" w:cs="Open Sans"/>
          <w:color w:val="000000"/>
        </w:rPr>
        <w:t xml:space="preserve">la barrera de los </w:t>
      </w:r>
      <w:r w:rsidR="004D6C33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.000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="008006B9">
        <w:rPr>
          <w:rFonts w:ascii="Open Sans" w:hAnsi="Open Sans" w:cs="Open Sans"/>
          <w:color w:val="000000"/>
        </w:rPr>
        <w:t>y son:</w:t>
      </w:r>
      <w:r w:rsidR="008006B9" w:rsidRPr="008006B9">
        <w:t xml:space="preserve"> </w:t>
      </w:r>
      <w:r w:rsidR="008006B9" w:rsidRPr="008006B9">
        <w:rPr>
          <w:rFonts w:ascii="Open Sans" w:hAnsi="Open Sans" w:cs="Open Sans"/>
          <w:color w:val="000000"/>
        </w:rPr>
        <w:t>Donostia - San Sebastián</w:t>
      </w:r>
      <w:r w:rsidR="00D07162">
        <w:rPr>
          <w:rFonts w:ascii="Open Sans" w:hAnsi="Open Sans" w:cs="Open Sans"/>
          <w:color w:val="000000"/>
        </w:rPr>
        <w:t xml:space="preserve"> con 5.</w:t>
      </w:r>
      <w:r w:rsidR="0076708E">
        <w:rPr>
          <w:rFonts w:ascii="Open Sans" w:hAnsi="Open Sans" w:cs="Open Sans"/>
          <w:color w:val="000000"/>
        </w:rPr>
        <w:t>5</w:t>
      </w:r>
      <w:r w:rsidR="00CC2E07">
        <w:rPr>
          <w:rFonts w:ascii="Open Sans" w:hAnsi="Open Sans" w:cs="Open Sans"/>
          <w:color w:val="000000"/>
        </w:rPr>
        <w:t>12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76708E">
        <w:rPr>
          <w:rFonts w:ascii="Open Sans" w:hAnsi="Open Sans" w:cs="Open Sans"/>
          <w:color w:val="000000"/>
        </w:rPr>
        <w:t xml:space="preserve"> y</w:t>
      </w:r>
      <w:r w:rsidR="0076708E" w:rsidRPr="0076708E">
        <w:rPr>
          <w:rFonts w:ascii="Open Sans" w:hAnsi="Open Sans" w:cs="Open Sans"/>
          <w:color w:val="000000"/>
        </w:rPr>
        <w:t xml:space="preserve"> </w:t>
      </w:r>
      <w:r w:rsidR="00CC2E07" w:rsidRPr="00CC2E07">
        <w:rPr>
          <w:rFonts w:ascii="Open Sans" w:hAnsi="Open Sans" w:cs="Open Sans"/>
          <w:color w:val="000000"/>
        </w:rPr>
        <w:t>Eivissa</w:t>
      </w:r>
      <w:r w:rsidR="00CC2E07">
        <w:rPr>
          <w:rFonts w:ascii="Open Sans" w:hAnsi="Open Sans" w:cs="Open Sans"/>
          <w:color w:val="000000"/>
        </w:rPr>
        <w:t xml:space="preserve"> </w:t>
      </w:r>
      <w:r w:rsidR="0076708E" w:rsidRPr="0076708E">
        <w:rPr>
          <w:rFonts w:ascii="Open Sans" w:hAnsi="Open Sans" w:cs="Open Sans"/>
          <w:color w:val="000000"/>
        </w:rPr>
        <w:t xml:space="preserve">con </w:t>
      </w:r>
      <w:r w:rsidR="00CC2E07">
        <w:rPr>
          <w:rFonts w:ascii="Open Sans" w:hAnsi="Open Sans" w:cs="Open Sans"/>
          <w:color w:val="000000"/>
        </w:rPr>
        <w:t>5.007</w:t>
      </w:r>
      <w:r w:rsidR="0076708E">
        <w:rPr>
          <w:rFonts w:ascii="Open Sans" w:hAnsi="Open Sans" w:cs="Open Sans"/>
          <w:color w:val="000000"/>
        </w:rPr>
        <w:t xml:space="preserve"> euros/m</w:t>
      </w:r>
      <w:r w:rsidR="0076708E" w:rsidRPr="00C108A1">
        <w:rPr>
          <w:rFonts w:ascii="Open Sans" w:hAnsi="Open Sans" w:cs="Open Sans"/>
          <w:color w:val="000000"/>
          <w:vertAlign w:val="superscript"/>
        </w:rPr>
        <w:t>2</w:t>
      </w:r>
      <w:r w:rsidR="0076708E">
        <w:rPr>
          <w:rFonts w:ascii="Open Sans" w:hAnsi="Open Sans" w:cs="Open Sans"/>
          <w:color w:val="000000"/>
        </w:rPr>
        <w:t xml:space="preserve">. </w:t>
      </w:r>
    </w:p>
    <w:p w14:paraId="0182F372" w14:textId="342BA651" w:rsidR="00073C61" w:rsidRDefault="00073C61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incremento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893"/>
        <w:gridCol w:w="1783"/>
      </w:tblGrid>
      <w:tr w:rsidR="00073C61" w:rsidRPr="00361CE2" w14:paraId="3ABC61CC" w14:textId="77777777" w:rsidTr="00AB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771F53A" w14:textId="77777777" w:rsidR="00073C61" w:rsidRPr="00361CE2" w:rsidRDefault="00073C61" w:rsidP="007D6B10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59D98218" w14:textId="77777777" w:rsidR="00073C61" w:rsidRPr="00361CE2" w:rsidRDefault="00073C61" w:rsidP="007D6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0860AC43" w14:textId="77777777" w:rsidR="00073C61" w:rsidRPr="00361CE2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7FBD3C23" w14:textId="77777777" w:rsidR="00073C61" w:rsidRPr="00361CE2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19B8F497" w14:textId="77777777" w:rsidR="00073C61" w:rsidRPr="00361CE2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678C11A8" w14:textId="77777777" w:rsidR="00073C61" w:rsidRPr="00361CE2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038E3AD8" w14:textId="12F286E3" w:rsidR="00073C61" w:rsidRPr="00361CE2" w:rsidRDefault="00277F15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2944AD"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</w:t>
            </w:r>
            <w:r w:rsidR="00294EA8"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2020</w:t>
            </w:r>
          </w:p>
          <w:p w14:paraId="027417A9" w14:textId="1D7C2A48" w:rsidR="00073C61" w:rsidRPr="00361CE2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</w:t>
            </w:r>
            <w:r w:rsidR="00F23A6E"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euros/m</w:t>
            </w: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²)</w:t>
            </w:r>
          </w:p>
        </w:tc>
      </w:tr>
      <w:tr w:rsidR="00277F15" w:rsidRPr="00361CE2" w14:paraId="58F320EE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80099D0" w14:textId="0E450158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7A19B513" w14:textId="31A075E3" w:rsidR="00277F15" w:rsidRPr="00277F15" w:rsidRDefault="00277F15" w:rsidP="0027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Oliva</w:t>
            </w:r>
          </w:p>
        </w:tc>
        <w:tc>
          <w:tcPr>
            <w:tcW w:w="1701" w:type="dxa"/>
            <w:vAlign w:val="bottom"/>
          </w:tcPr>
          <w:p w14:paraId="4744850D" w14:textId="5E81C237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17,3 %</w:t>
            </w:r>
          </w:p>
        </w:tc>
        <w:tc>
          <w:tcPr>
            <w:tcW w:w="1893" w:type="dxa"/>
            <w:vAlign w:val="bottom"/>
          </w:tcPr>
          <w:p w14:paraId="2AB113F9" w14:textId="541297AA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44,8 %</w:t>
            </w:r>
          </w:p>
        </w:tc>
        <w:tc>
          <w:tcPr>
            <w:tcW w:w="1783" w:type="dxa"/>
            <w:vAlign w:val="bottom"/>
          </w:tcPr>
          <w:p w14:paraId="6657FF89" w14:textId="40A53959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1.228 €</w:t>
            </w:r>
          </w:p>
        </w:tc>
      </w:tr>
      <w:tr w:rsidR="00277F15" w:rsidRPr="00361CE2" w14:paraId="7F6DF24B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2433576" w14:textId="26B838CC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766B207" w14:textId="1887F8F9" w:rsidR="00277F15" w:rsidRPr="00277F15" w:rsidRDefault="00277F15" w:rsidP="0027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Tordera</w:t>
            </w:r>
          </w:p>
        </w:tc>
        <w:tc>
          <w:tcPr>
            <w:tcW w:w="1701" w:type="dxa"/>
            <w:vAlign w:val="bottom"/>
          </w:tcPr>
          <w:p w14:paraId="69C89F4B" w14:textId="0D69F5C6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17,0 %</w:t>
            </w:r>
          </w:p>
        </w:tc>
        <w:tc>
          <w:tcPr>
            <w:tcW w:w="1893" w:type="dxa"/>
            <w:vAlign w:val="bottom"/>
          </w:tcPr>
          <w:p w14:paraId="5093EE8A" w14:textId="53146BC7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12,2 %</w:t>
            </w:r>
          </w:p>
        </w:tc>
        <w:tc>
          <w:tcPr>
            <w:tcW w:w="1783" w:type="dxa"/>
            <w:vAlign w:val="bottom"/>
          </w:tcPr>
          <w:p w14:paraId="56330C5B" w14:textId="17947C8B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1.625 €</w:t>
            </w:r>
          </w:p>
        </w:tc>
      </w:tr>
      <w:tr w:rsidR="00277F15" w:rsidRPr="00361CE2" w14:paraId="5861626F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7F53563" w14:textId="18EECBBC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550DE078" w14:textId="620BFA79" w:rsidR="00277F15" w:rsidRPr="00277F15" w:rsidRDefault="00277F15" w:rsidP="0027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Rojales</w:t>
            </w:r>
          </w:p>
        </w:tc>
        <w:tc>
          <w:tcPr>
            <w:tcW w:w="1701" w:type="dxa"/>
            <w:vAlign w:val="bottom"/>
          </w:tcPr>
          <w:p w14:paraId="10693CB4" w14:textId="72216905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16,6 %</w:t>
            </w:r>
          </w:p>
        </w:tc>
        <w:tc>
          <w:tcPr>
            <w:tcW w:w="1893" w:type="dxa"/>
            <w:vAlign w:val="bottom"/>
          </w:tcPr>
          <w:p w14:paraId="304A8874" w14:textId="1BD9D2AE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3661936C" w14:textId="184F0056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1.584 €</w:t>
            </w:r>
          </w:p>
        </w:tc>
      </w:tr>
      <w:tr w:rsidR="00277F15" w:rsidRPr="00361CE2" w14:paraId="5584CDFD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B0A321D" w14:textId="6C6AA5F2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41314AB1" w14:textId="3F65822C" w:rsidR="00277F15" w:rsidRPr="00277F15" w:rsidRDefault="00277F15" w:rsidP="0027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Carballo</w:t>
            </w:r>
          </w:p>
        </w:tc>
        <w:tc>
          <w:tcPr>
            <w:tcW w:w="1701" w:type="dxa"/>
            <w:vAlign w:val="bottom"/>
          </w:tcPr>
          <w:p w14:paraId="1B0B3F12" w14:textId="3497255F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12,0 %</w:t>
            </w:r>
          </w:p>
        </w:tc>
        <w:tc>
          <w:tcPr>
            <w:tcW w:w="1893" w:type="dxa"/>
            <w:vAlign w:val="bottom"/>
          </w:tcPr>
          <w:p w14:paraId="197F560E" w14:textId="764EEC90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783" w:type="dxa"/>
            <w:vAlign w:val="bottom"/>
          </w:tcPr>
          <w:p w14:paraId="4515199F" w14:textId="2CACF541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852 €</w:t>
            </w:r>
          </w:p>
        </w:tc>
      </w:tr>
      <w:tr w:rsidR="00277F15" w:rsidRPr="00361CE2" w14:paraId="4A3B40C3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DF4BF5" w14:textId="08E93840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2B71E92C" w14:textId="38FFD0BB" w:rsidR="00277F15" w:rsidRPr="00277F15" w:rsidRDefault="00277F15" w:rsidP="0027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Les Franqueses del Vallès</w:t>
            </w:r>
          </w:p>
        </w:tc>
        <w:tc>
          <w:tcPr>
            <w:tcW w:w="1701" w:type="dxa"/>
            <w:vAlign w:val="bottom"/>
          </w:tcPr>
          <w:p w14:paraId="4C0AF76E" w14:textId="5124346E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11,4 %</w:t>
            </w:r>
          </w:p>
        </w:tc>
        <w:tc>
          <w:tcPr>
            <w:tcW w:w="1893" w:type="dxa"/>
            <w:vAlign w:val="bottom"/>
          </w:tcPr>
          <w:p w14:paraId="5BC30483" w14:textId="0E643B11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6,9 %</w:t>
            </w:r>
          </w:p>
        </w:tc>
        <w:tc>
          <w:tcPr>
            <w:tcW w:w="1783" w:type="dxa"/>
            <w:vAlign w:val="bottom"/>
          </w:tcPr>
          <w:p w14:paraId="6390EF5A" w14:textId="58E99429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1.926 €</w:t>
            </w:r>
          </w:p>
        </w:tc>
      </w:tr>
      <w:tr w:rsidR="00277F15" w:rsidRPr="00361CE2" w14:paraId="2533EA4A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E305659" w14:textId="5759D2AB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7F6D888B" w14:textId="45C21739" w:rsidR="00277F15" w:rsidRPr="00277F15" w:rsidRDefault="00277F15" w:rsidP="0027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Alcañiz</w:t>
            </w:r>
          </w:p>
        </w:tc>
        <w:tc>
          <w:tcPr>
            <w:tcW w:w="1701" w:type="dxa"/>
            <w:vAlign w:val="bottom"/>
          </w:tcPr>
          <w:p w14:paraId="281C3223" w14:textId="0467CD0D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10,8 %</w:t>
            </w:r>
          </w:p>
        </w:tc>
        <w:tc>
          <w:tcPr>
            <w:tcW w:w="1893" w:type="dxa"/>
            <w:vAlign w:val="bottom"/>
          </w:tcPr>
          <w:p w14:paraId="5CBC2315" w14:textId="71E7B86B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83" w:type="dxa"/>
            <w:vAlign w:val="bottom"/>
          </w:tcPr>
          <w:p w14:paraId="389AC993" w14:textId="73522D9A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1.011 €</w:t>
            </w:r>
          </w:p>
        </w:tc>
      </w:tr>
      <w:tr w:rsidR="00277F15" w:rsidRPr="00361CE2" w14:paraId="699AF817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8D557E8" w14:textId="58B3A8CE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1B9A3680" w14:textId="19BFA3E2" w:rsidR="00277F15" w:rsidRPr="00277F15" w:rsidRDefault="00277F15" w:rsidP="0027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701" w:type="dxa"/>
            <w:vAlign w:val="bottom"/>
          </w:tcPr>
          <w:p w14:paraId="06299077" w14:textId="1A72E6AD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10,4 %</w:t>
            </w:r>
          </w:p>
        </w:tc>
        <w:tc>
          <w:tcPr>
            <w:tcW w:w="1893" w:type="dxa"/>
            <w:vAlign w:val="bottom"/>
          </w:tcPr>
          <w:p w14:paraId="0397CF0B" w14:textId="18DE7D03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71EE9A1B" w14:textId="1C1ABA2C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4.097 €</w:t>
            </w:r>
          </w:p>
        </w:tc>
      </w:tr>
      <w:tr w:rsidR="00277F15" w:rsidRPr="00361CE2" w14:paraId="511E5A7C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92C74FA" w14:textId="3392B0C0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399086DE" w14:textId="2549D0BE" w:rsidR="00277F15" w:rsidRPr="00277F15" w:rsidRDefault="00277F15" w:rsidP="0027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 xml:space="preserve">Peñíscola / </w:t>
            </w:r>
            <w:proofErr w:type="spellStart"/>
            <w:r w:rsidRPr="00277F15">
              <w:rPr>
                <w:rFonts w:ascii="Open Sans" w:hAnsi="Open Sans" w:cs="Open Sans"/>
                <w:sz w:val="22"/>
                <w:szCs w:val="22"/>
              </w:rPr>
              <w:t>Pe</w:t>
            </w:r>
            <w:r>
              <w:rPr>
                <w:rFonts w:ascii="Open Sans" w:hAnsi="Open Sans" w:cs="Open Sans"/>
                <w:sz w:val="22"/>
                <w:szCs w:val="22"/>
              </w:rPr>
              <w:t>n</w:t>
            </w:r>
            <w:r w:rsidRPr="00277F15">
              <w:rPr>
                <w:rFonts w:ascii="Open Sans" w:hAnsi="Open Sans" w:cs="Open Sans"/>
                <w:sz w:val="22"/>
                <w:szCs w:val="22"/>
              </w:rPr>
              <w:t>íscola</w:t>
            </w:r>
            <w:proofErr w:type="spellEnd"/>
          </w:p>
        </w:tc>
        <w:tc>
          <w:tcPr>
            <w:tcW w:w="1701" w:type="dxa"/>
            <w:vAlign w:val="bottom"/>
          </w:tcPr>
          <w:p w14:paraId="7892C9C9" w14:textId="147BC0FA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10,1 %</w:t>
            </w:r>
          </w:p>
        </w:tc>
        <w:tc>
          <w:tcPr>
            <w:tcW w:w="1893" w:type="dxa"/>
            <w:vAlign w:val="bottom"/>
          </w:tcPr>
          <w:p w14:paraId="32542DBD" w14:textId="2A6EA61F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626B801A" w14:textId="6259D4F9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1.659 €</w:t>
            </w:r>
          </w:p>
        </w:tc>
      </w:tr>
      <w:tr w:rsidR="00277F15" w:rsidRPr="00361CE2" w14:paraId="75904C95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3AFE336" w14:textId="4B5D84C2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1DAC6FA7" w14:textId="6353AB15" w:rsidR="00277F15" w:rsidRPr="00277F15" w:rsidRDefault="00277F15" w:rsidP="0027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Piles</w:t>
            </w:r>
          </w:p>
        </w:tc>
        <w:tc>
          <w:tcPr>
            <w:tcW w:w="1701" w:type="dxa"/>
            <w:vAlign w:val="bottom"/>
          </w:tcPr>
          <w:p w14:paraId="7B4415C2" w14:textId="5B77F4C3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9,4 %</w:t>
            </w:r>
          </w:p>
        </w:tc>
        <w:tc>
          <w:tcPr>
            <w:tcW w:w="1893" w:type="dxa"/>
            <w:vAlign w:val="bottom"/>
          </w:tcPr>
          <w:p w14:paraId="7E03A73D" w14:textId="24C9FEBF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-14,4 %</w:t>
            </w:r>
          </w:p>
        </w:tc>
        <w:tc>
          <w:tcPr>
            <w:tcW w:w="1783" w:type="dxa"/>
            <w:vAlign w:val="bottom"/>
          </w:tcPr>
          <w:p w14:paraId="6D33C16C" w14:textId="29D18F25" w:rsidR="00277F15" w:rsidRPr="00361CE2" w:rsidRDefault="00277F15" w:rsidP="0027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1.359 €</w:t>
            </w:r>
          </w:p>
        </w:tc>
      </w:tr>
      <w:tr w:rsidR="00277F15" w:rsidRPr="00361CE2" w14:paraId="206619EB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BD6F62D" w14:textId="2828A2B7" w:rsidR="00277F15" w:rsidRPr="00277F15" w:rsidRDefault="00277F15" w:rsidP="00277F1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40AEF48A" w14:textId="543EADE6" w:rsidR="00277F15" w:rsidRPr="00277F15" w:rsidRDefault="00277F15" w:rsidP="0027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7F15">
              <w:rPr>
                <w:rFonts w:ascii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701" w:type="dxa"/>
            <w:vAlign w:val="bottom"/>
          </w:tcPr>
          <w:p w14:paraId="12E823F5" w14:textId="23A5C37D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8,9 %</w:t>
            </w:r>
          </w:p>
        </w:tc>
        <w:tc>
          <w:tcPr>
            <w:tcW w:w="1893" w:type="dxa"/>
            <w:vAlign w:val="bottom"/>
          </w:tcPr>
          <w:p w14:paraId="6EB82EF7" w14:textId="3A974C77" w:rsidR="00277F15" w:rsidRPr="00361CE2" w:rsidRDefault="00A35AD6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-</w:t>
            </w:r>
          </w:p>
        </w:tc>
        <w:tc>
          <w:tcPr>
            <w:tcW w:w="1783" w:type="dxa"/>
            <w:vAlign w:val="bottom"/>
          </w:tcPr>
          <w:p w14:paraId="2AEEA614" w14:textId="6917315E" w:rsidR="00277F15" w:rsidRPr="00361CE2" w:rsidRDefault="00277F15" w:rsidP="00277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4.916 €</w:t>
            </w:r>
          </w:p>
        </w:tc>
      </w:tr>
    </w:tbl>
    <w:p w14:paraId="220F8CB5" w14:textId="0739F520" w:rsidR="00BF6735" w:rsidRDefault="00BF6735" w:rsidP="00BF6735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descenso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050"/>
        <w:gridCol w:w="1701"/>
        <w:gridCol w:w="1893"/>
        <w:gridCol w:w="1783"/>
      </w:tblGrid>
      <w:tr w:rsidR="00BF6735" w:rsidRPr="00361CE2" w14:paraId="5CA4503B" w14:textId="77777777" w:rsidTr="00F9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4995C063" w14:textId="77777777" w:rsidR="00BF6735" w:rsidRPr="00361CE2" w:rsidRDefault="00BF6735" w:rsidP="00AB682E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050" w:type="dxa"/>
            <w:vAlign w:val="center"/>
          </w:tcPr>
          <w:p w14:paraId="11027E7E" w14:textId="77777777" w:rsidR="00BF6735" w:rsidRPr="00361CE2" w:rsidRDefault="00BF6735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27BB6A29" w14:textId="77777777" w:rsidR="00BF6735" w:rsidRPr="00361CE2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5BE47E2F" w14:textId="77777777" w:rsidR="00BF6735" w:rsidRPr="00361CE2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67C9C25D" w14:textId="77777777" w:rsidR="00BF6735" w:rsidRPr="00361CE2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42325C33" w14:textId="77777777" w:rsidR="00BF6735" w:rsidRPr="00361CE2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52B285AB" w14:textId="34ADA963" w:rsidR="00361CE2" w:rsidRPr="00361CE2" w:rsidRDefault="00A35AD6" w:rsidP="00361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AB5BEF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.</w:t>
            </w:r>
            <w:r w:rsidR="00AB5BEF"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</w:t>
            </w:r>
            <w:r w:rsidR="00361CE2"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2020</w:t>
            </w:r>
          </w:p>
          <w:p w14:paraId="49D071A3" w14:textId="77777777" w:rsidR="00BF6735" w:rsidRPr="00361CE2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(euros/m²)</w:t>
            </w:r>
          </w:p>
        </w:tc>
      </w:tr>
      <w:tr w:rsidR="00A35AD6" w:rsidRPr="00361CE2" w14:paraId="0A4E55BD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6A6D55B" w14:textId="43C9B3A2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050" w:type="dxa"/>
            <w:vAlign w:val="bottom"/>
          </w:tcPr>
          <w:p w14:paraId="6953C971" w14:textId="2811182F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Amposta</w:t>
            </w:r>
          </w:p>
        </w:tc>
        <w:tc>
          <w:tcPr>
            <w:tcW w:w="1701" w:type="dxa"/>
            <w:vAlign w:val="bottom"/>
          </w:tcPr>
          <w:p w14:paraId="4E63D588" w14:textId="1F9310B4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-32,4 %</w:t>
            </w:r>
          </w:p>
        </w:tc>
        <w:tc>
          <w:tcPr>
            <w:tcW w:w="1893" w:type="dxa"/>
            <w:vAlign w:val="bottom"/>
          </w:tcPr>
          <w:p w14:paraId="6703A84F" w14:textId="29084697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-9,4 %</w:t>
            </w:r>
          </w:p>
        </w:tc>
        <w:tc>
          <w:tcPr>
            <w:tcW w:w="1783" w:type="dxa"/>
            <w:vAlign w:val="bottom"/>
          </w:tcPr>
          <w:p w14:paraId="125CB9BD" w14:textId="7974ADB1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781 €</w:t>
            </w:r>
          </w:p>
        </w:tc>
      </w:tr>
      <w:tr w:rsidR="00A35AD6" w:rsidRPr="00361CE2" w14:paraId="0878B593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A3BF179" w14:textId="5F20E8CD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050" w:type="dxa"/>
            <w:vAlign w:val="bottom"/>
          </w:tcPr>
          <w:p w14:paraId="68ABA98A" w14:textId="09AAD337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Fuensalida</w:t>
            </w:r>
          </w:p>
        </w:tc>
        <w:tc>
          <w:tcPr>
            <w:tcW w:w="1701" w:type="dxa"/>
            <w:vAlign w:val="bottom"/>
          </w:tcPr>
          <w:p w14:paraId="1C93F345" w14:textId="45A4C53F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-28,2 %</w:t>
            </w:r>
          </w:p>
        </w:tc>
        <w:tc>
          <w:tcPr>
            <w:tcW w:w="1893" w:type="dxa"/>
            <w:vAlign w:val="bottom"/>
          </w:tcPr>
          <w:p w14:paraId="72E85343" w14:textId="0E1BF69E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-25,2 %</w:t>
            </w:r>
          </w:p>
        </w:tc>
        <w:tc>
          <w:tcPr>
            <w:tcW w:w="1783" w:type="dxa"/>
            <w:vAlign w:val="bottom"/>
          </w:tcPr>
          <w:p w14:paraId="55CF3031" w14:textId="6A3603B7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645 €</w:t>
            </w:r>
          </w:p>
        </w:tc>
      </w:tr>
      <w:tr w:rsidR="00A35AD6" w:rsidRPr="00361CE2" w14:paraId="6D408E20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9DA7FDA" w14:textId="3069468A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050" w:type="dxa"/>
            <w:vAlign w:val="bottom"/>
          </w:tcPr>
          <w:p w14:paraId="6E67918E" w14:textId="61D7D022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Écija</w:t>
            </w:r>
          </w:p>
        </w:tc>
        <w:tc>
          <w:tcPr>
            <w:tcW w:w="1701" w:type="dxa"/>
            <w:vAlign w:val="bottom"/>
          </w:tcPr>
          <w:p w14:paraId="1647D9BE" w14:textId="2381A328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-24,1 %</w:t>
            </w:r>
          </w:p>
        </w:tc>
        <w:tc>
          <w:tcPr>
            <w:tcW w:w="1893" w:type="dxa"/>
            <w:vAlign w:val="bottom"/>
          </w:tcPr>
          <w:p w14:paraId="5D7909E4" w14:textId="6D57C162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783" w:type="dxa"/>
            <w:vAlign w:val="bottom"/>
          </w:tcPr>
          <w:p w14:paraId="077D4EB1" w14:textId="75A0FA3E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1.045 €</w:t>
            </w:r>
          </w:p>
        </w:tc>
      </w:tr>
      <w:tr w:rsidR="00A35AD6" w:rsidRPr="00361CE2" w14:paraId="5B1CF2EF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09959CF" w14:textId="73A98AE6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050" w:type="dxa"/>
            <w:vAlign w:val="bottom"/>
          </w:tcPr>
          <w:p w14:paraId="76174186" w14:textId="75A49528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A35AD6">
              <w:rPr>
                <w:rFonts w:ascii="Open Sans" w:hAnsi="Open Sans" w:cs="Open Sans"/>
                <w:sz w:val="22"/>
                <w:szCs w:val="22"/>
              </w:rPr>
              <w:t>Yeles</w:t>
            </w:r>
            <w:proofErr w:type="spellEnd"/>
          </w:p>
        </w:tc>
        <w:tc>
          <w:tcPr>
            <w:tcW w:w="1701" w:type="dxa"/>
            <w:vAlign w:val="bottom"/>
          </w:tcPr>
          <w:p w14:paraId="75399E06" w14:textId="3113BDF8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-21,1 %</w:t>
            </w:r>
          </w:p>
        </w:tc>
        <w:tc>
          <w:tcPr>
            <w:tcW w:w="1893" w:type="dxa"/>
            <w:vAlign w:val="bottom"/>
          </w:tcPr>
          <w:p w14:paraId="3E703F32" w14:textId="1E8E4FB6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7335341B" w14:textId="7856DE38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1.076 €</w:t>
            </w:r>
          </w:p>
        </w:tc>
      </w:tr>
      <w:tr w:rsidR="00A35AD6" w:rsidRPr="00361CE2" w14:paraId="1A6632B5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A08FDF" w14:textId="4A628AA2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050" w:type="dxa"/>
            <w:vAlign w:val="bottom"/>
          </w:tcPr>
          <w:p w14:paraId="2ABC17B5" w14:textId="16AFFCF8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 xml:space="preserve">La Font </w:t>
            </w:r>
            <w:proofErr w:type="spellStart"/>
            <w:r w:rsidRPr="00A35AD6">
              <w:rPr>
                <w:rFonts w:ascii="Open Sans" w:hAnsi="Open Sans" w:cs="Open Sans"/>
                <w:sz w:val="22"/>
                <w:szCs w:val="22"/>
              </w:rPr>
              <w:t>d'En</w:t>
            </w:r>
            <w:proofErr w:type="spellEnd"/>
            <w:r w:rsidRPr="00A35AD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A35AD6">
              <w:rPr>
                <w:rFonts w:ascii="Open Sans" w:hAnsi="Open Sans" w:cs="Open Sans"/>
                <w:sz w:val="22"/>
                <w:szCs w:val="22"/>
              </w:rPr>
              <w:t>Carròs</w:t>
            </w:r>
            <w:proofErr w:type="spellEnd"/>
          </w:p>
        </w:tc>
        <w:tc>
          <w:tcPr>
            <w:tcW w:w="1701" w:type="dxa"/>
            <w:vAlign w:val="bottom"/>
          </w:tcPr>
          <w:p w14:paraId="0CE64F5A" w14:textId="7192D20F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-17,3 %</w:t>
            </w:r>
          </w:p>
        </w:tc>
        <w:tc>
          <w:tcPr>
            <w:tcW w:w="1893" w:type="dxa"/>
            <w:vAlign w:val="bottom"/>
          </w:tcPr>
          <w:p w14:paraId="7A7EF171" w14:textId="73351395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783" w:type="dxa"/>
            <w:vAlign w:val="bottom"/>
          </w:tcPr>
          <w:p w14:paraId="73017804" w14:textId="5B4A37AD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733 €</w:t>
            </w:r>
          </w:p>
        </w:tc>
      </w:tr>
      <w:tr w:rsidR="00A35AD6" w:rsidRPr="00361CE2" w14:paraId="77F726CB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DB409F7" w14:textId="24F62FD3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050" w:type="dxa"/>
            <w:vAlign w:val="bottom"/>
          </w:tcPr>
          <w:p w14:paraId="5EEF3C1E" w14:textId="67D957B0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A35AD6">
              <w:rPr>
                <w:rFonts w:ascii="Open Sans" w:hAnsi="Open Sans" w:cs="Open Sans"/>
                <w:sz w:val="22"/>
                <w:szCs w:val="22"/>
              </w:rPr>
              <w:t>L'Olleria</w:t>
            </w:r>
            <w:proofErr w:type="spellEnd"/>
          </w:p>
        </w:tc>
        <w:tc>
          <w:tcPr>
            <w:tcW w:w="1701" w:type="dxa"/>
            <w:vAlign w:val="bottom"/>
          </w:tcPr>
          <w:p w14:paraId="1AE2409D" w14:textId="06229D51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-16,5 %</w:t>
            </w:r>
          </w:p>
        </w:tc>
        <w:tc>
          <w:tcPr>
            <w:tcW w:w="1893" w:type="dxa"/>
            <w:vAlign w:val="bottom"/>
          </w:tcPr>
          <w:p w14:paraId="74D58838" w14:textId="253A90A7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52,8 %</w:t>
            </w:r>
          </w:p>
        </w:tc>
        <w:tc>
          <w:tcPr>
            <w:tcW w:w="1783" w:type="dxa"/>
            <w:vAlign w:val="bottom"/>
          </w:tcPr>
          <w:p w14:paraId="3ED7CD98" w14:textId="3CD453D7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885 €</w:t>
            </w:r>
          </w:p>
        </w:tc>
      </w:tr>
      <w:tr w:rsidR="00A35AD6" w:rsidRPr="00361CE2" w14:paraId="3E4031C0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F982D22" w14:textId="38132AAA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050" w:type="dxa"/>
            <w:vAlign w:val="bottom"/>
          </w:tcPr>
          <w:p w14:paraId="6C086710" w14:textId="2BD75B9A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Sallent</w:t>
            </w:r>
          </w:p>
        </w:tc>
        <w:tc>
          <w:tcPr>
            <w:tcW w:w="1701" w:type="dxa"/>
            <w:vAlign w:val="bottom"/>
          </w:tcPr>
          <w:p w14:paraId="1966B85E" w14:textId="7ADBA605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-14,7 %</w:t>
            </w:r>
          </w:p>
        </w:tc>
        <w:tc>
          <w:tcPr>
            <w:tcW w:w="1893" w:type="dxa"/>
            <w:vAlign w:val="bottom"/>
          </w:tcPr>
          <w:p w14:paraId="14BBA2D3" w14:textId="746A1DBB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83" w:type="dxa"/>
            <w:vAlign w:val="bottom"/>
          </w:tcPr>
          <w:p w14:paraId="7D6246B9" w14:textId="1AA55E03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1.084 €</w:t>
            </w:r>
          </w:p>
        </w:tc>
      </w:tr>
      <w:tr w:rsidR="00A35AD6" w:rsidRPr="00361CE2" w14:paraId="1585739D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FC1670B" w14:textId="169DF6E4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050" w:type="dxa"/>
            <w:vAlign w:val="bottom"/>
          </w:tcPr>
          <w:p w14:paraId="799AF818" w14:textId="5C9A3848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Arcos de la Frontera</w:t>
            </w:r>
          </w:p>
        </w:tc>
        <w:tc>
          <w:tcPr>
            <w:tcW w:w="1701" w:type="dxa"/>
            <w:vAlign w:val="bottom"/>
          </w:tcPr>
          <w:p w14:paraId="492CAE86" w14:textId="719FA325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-13,8 %</w:t>
            </w:r>
          </w:p>
        </w:tc>
        <w:tc>
          <w:tcPr>
            <w:tcW w:w="1893" w:type="dxa"/>
            <w:vAlign w:val="bottom"/>
          </w:tcPr>
          <w:p w14:paraId="5230239E" w14:textId="605D23D2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783" w:type="dxa"/>
            <w:vAlign w:val="bottom"/>
          </w:tcPr>
          <w:p w14:paraId="1BD3558B" w14:textId="0A6A9E94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799 €</w:t>
            </w:r>
          </w:p>
        </w:tc>
      </w:tr>
      <w:tr w:rsidR="00A35AD6" w:rsidRPr="00361CE2" w14:paraId="660439FE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B117C4" w14:textId="4D12FB30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050" w:type="dxa"/>
            <w:vAlign w:val="bottom"/>
          </w:tcPr>
          <w:p w14:paraId="13E989DB" w14:textId="386DF980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Ripoll</w:t>
            </w:r>
          </w:p>
        </w:tc>
        <w:tc>
          <w:tcPr>
            <w:tcW w:w="1701" w:type="dxa"/>
            <w:vAlign w:val="bottom"/>
          </w:tcPr>
          <w:p w14:paraId="015A4D43" w14:textId="1B9077A6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-13,4 %</w:t>
            </w:r>
          </w:p>
        </w:tc>
        <w:tc>
          <w:tcPr>
            <w:tcW w:w="1893" w:type="dxa"/>
            <w:vAlign w:val="bottom"/>
          </w:tcPr>
          <w:p w14:paraId="0052A762" w14:textId="2283CDF7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-10,1 %</w:t>
            </w:r>
          </w:p>
        </w:tc>
        <w:tc>
          <w:tcPr>
            <w:tcW w:w="1783" w:type="dxa"/>
            <w:vAlign w:val="bottom"/>
          </w:tcPr>
          <w:p w14:paraId="7DEC1C3D" w14:textId="6C3033EC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1.006 €</w:t>
            </w:r>
          </w:p>
        </w:tc>
      </w:tr>
      <w:tr w:rsidR="00A35AD6" w:rsidRPr="00361CE2" w14:paraId="0CE836D9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B31B3F1" w14:textId="79996CA0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4CD10941" w14:textId="4401A6DA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Bigastro</w:t>
            </w:r>
          </w:p>
        </w:tc>
        <w:tc>
          <w:tcPr>
            <w:tcW w:w="1701" w:type="dxa"/>
            <w:vAlign w:val="bottom"/>
          </w:tcPr>
          <w:p w14:paraId="0A5CE140" w14:textId="3C5C024D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-13,2 %</w:t>
            </w:r>
          </w:p>
        </w:tc>
        <w:tc>
          <w:tcPr>
            <w:tcW w:w="1893" w:type="dxa"/>
            <w:vAlign w:val="bottom"/>
          </w:tcPr>
          <w:p w14:paraId="283A178A" w14:textId="5494C6E4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-</w:t>
            </w:r>
          </w:p>
        </w:tc>
        <w:tc>
          <w:tcPr>
            <w:tcW w:w="1783" w:type="dxa"/>
            <w:vAlign w:val="bottom"/>
          </w:tcPr>
          <w:p w14:paraId="57A5C0F4" w14:textId="3DF5BE2C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696 €</w:t>
            </w:r>
          </w:p>
        </w:tc>
      </w:tr>
    </w:tbl>
    <w:p w14:paraId="1F9BBFF9" w14:textId="50EF70B6" w:rsidR="00073C61" w:rsidRDefault="00073C61" w:rsidP="00073C61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precio en</w:t>
      </w:r>
      <w:r w:rsidR="00DA562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A35AD6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noviembre</w:t>
      </w:r>
      <w:r w:rsidR="0036506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de 2020</w:t>
      </w:r>
    </w:p>
    <w:tbl>
      <w:tblPr>
        <w:tblStyle w:val="Tabladecuadrcula5oscura-nfasis11"/>
        <w:tblW w:w="9081" w:type="dxa"/>
        <w:tblInd w:w="-5" w:type="dxa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843"/>
        <w:gridCol w:w="1993"/>
      </w:tblGrid>
      <w:tr w:rsidR="00C17526" w:rsidRPr="00361CE2" w14:paraId="1382DDB4" w14:textId="77777777" w:rsidTr="00F9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BDDD096" w14:textId="77777777" w:rsidR="00C17526" w:rsidRPr="00361CE2" w:rsidRDefault="00C17526" w:rsidP="00AB682E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984" w:type="dxa"/>
            <w:vAlign w:val="center"/>
          </w:tcPr>
          <w:p w14:paraId="2797C995" w14:textId="77777777" w:rsidR="00C17526" w:rsidRPr="00361CE2" w:rsidRDefault="00C17526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25BEC172" w14:textId="68037A6C" w:rsidR="00361CE2" w:rsidRPr="00361CE2" w:rsidRDefault="00A35AD6" w:rsidP="00361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AB5BEF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. </w:t>
            </w:r>
            <w:r w:rsidR="00361CE2"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2020</w:t>
            </w:r>
          </w:p>
          <w:p w14:paraId="4BE2E9A5" w14:textId="77777777" w:rsidR="00C17526" w:rsidRPr="00361CE2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(euros/m²)</w:t>
            </w:r>
          </w:p>
        </w:tc>
        <w:tc>
          <w:tcPr>
            <w:tcW w:w="1843" w:type="dxa"/>
          </w:tcPr>
          <w:p w14:paraId="5B2A40DF" w14:textId="77777777" w:rsidR="00C17526" w:rsidRPr="00361CE2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7F07945B" w14:textId="77777777" w:rsidR="00C17526" w:rsidRPr="00361CE2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93" w:type="dxa"/>
          </w:tcPr>
          <w:p w14:paraId="60D37618" w14:textId="77777777" w:rsidR="00C17526" w:rsidRPr="00361CE2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2B666D7B" w14:textId="77777777" w:rsidR="00C17526" w:rsidRPr="00361CE2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361CE2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</w:tr>
      <w:tr w:rsidR="00A35AD6" w:rsidRPr="00361CE2" w14:paraId="5853A674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E8009F3" w14:textId="1751B47A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84" w:type="dxa"/>
            <w:vAlign w:val="bottom"/>
          </w:tcPr>
          <w:p w14:paraId="310A74AA" w14:textId="7D14B721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843" w:type="dxa"/>
            <w:vAlign w:val="bottom"/>
          </w:tcPr>
          <w:p w14:paraId="792A58E0" w14:textId="6EC9590A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5.512 €</w:t>
            </w:r>
          </w:p>
        </w:tc>
        <w:tc>
          <w:tcPr>
            <w:tcW w:w="1843" w:type="dxa"/>
            <w:vAlign w:val="bottom"/>
          </w:tcPr>
          <w:p w14:paraId="68A06F46" w14:textId="3ACC757F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93" w:type="dxa"/>
            <w:vAlign w:val="bottom"/>
          </w:tcPr>
          <w:p w14:paraId="6DD9D1D4" w14:textId="1A66335D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8,5 %</w:t>
            </w:r>
          </w:p>
        </w:tc>
      </w:tr>
      <w:tr w:rsidR="00A35AD6" w:rsidRPr="00361CE2" w14:paraId="18F79D48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C259479" w14:textId="23D56345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84" w:type="dxa"/>
            <w:vAlign w:val="bottom"/>
          </w:tcPr>
          <w:p w14:paraId="68BDA1BF" w14:textId="6CB9E852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843" w:type="dxa"/>
            <w:vAlign w:val="bottom"/>
          </w:tcPr>
          <w:p w14:paraId="4DF31AA4" w14:textId="1B319FE1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5.007 €</w:t>
            </w:r>
          </w:p>
        </w:tc>
        <w:tc>
          <w:tcPr>
            <w:tcW w:w="1843" w:type="dxa"/>
            <w:vAlign w:val="bottom"/>
          </w:tcPr>
          <w:p w14:paraId="0251E1E5" w14:textId="25452235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993" w:type="dxa"/>
            <w:vAlign w:val="bottom"/>
          </w:tcPr>
          <w:p w14:paraId="1A53B947" w14:textId="3283C281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-7,6 %</w:t>
            </w:r>
          </w:p>
        </w:tc>
      </w:tr>
      <w:tr w:rsidR="00A35AD6" w:rsidRPr="00361CE2" w14:paraId="016C246C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E599E62" w14:textId="6B1B6792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Gipuzkoa</w:t>
            </w:r>
          </w:p>
        </w:tc>
        <w:tc>
          <w:tcPr>
            <w:tcW w:w="1984" w:type="dxa"/>
            <w:vAlign w:val="bottom"/>
          </w:tcPr>
          <w:p w14:paraId="7F1DFD86" w14:textId="4FF06145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Zarautz</w:t>
            </w:r>
          </w:p>
        </w:tc>
        <w:tc>
          <w:tcPr>
            <w:tcW w:w="1843" w:type="dxa"/>
            <w:vAlign w:val="bottom"/>
          </w:tcPr>
          <w:p w14:paraId="3C93FB7C" w14:textId="7C356543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4.992 €</w:t>
            </w:r>
          </w:p>
        </w:tc>
        <w:tc>
          <w:tcPr>
            <w:tcW w:w="1843" w:type="dxa"/>
            <w:vAlign w:val="bottom"/>
          </w:tcPr>
          <w:p w14:paraId="14239CFD" w14:textId="69C179EA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93" w:type="dxa"/>
            <w:vAlign w:val="bottom"/>
          </w:tcPr>
          <w:p w14:paraId="354A60B1" w14:textId="42798C5F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</w:tr>
      <w:tr w:rsidR="00A35AD6" w:rsidRPr="00361CE2" w14:paraId="1C7C59AD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CBDE69A" w14:textId="7CB95E99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0C447199" w14:textId="3642B899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843" w:type="dxa"/>
            <w:vAlign w:val="bottom"/>
          </w:tcPr>
          <w:p w14:paraId="38C6BCC8" w14:textId="288E0B49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4.916 €</w:t>
            </w:r>
          </w:p>
        </w:tc>
        <w:tc>
          <w:tcPr>
            <w:tcW w:w="1843" w:type="dxa"/>
            <w:vAlign w:val="bottom"/>
          </w:tcPr>
          <w:p w14:paraId="3B451DB6" w14:textId="581D799A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8,9 %</w:t>
            </w:r>
          </w:p>
        </w:tc>
        <w:tc>
          <w:tcPr>
            <w:tcW w:w="1993" w:type="dxa"/>
            <w:vAlign w:val="bottom"/>
          </w:tcPr>
          <w:p w14:paraId="65919134" w14:textId="084BC340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89,1 %</w:t>
            </w:r>
          </w:p>
        </w:tc>
      </w:tr>
      <w:tr w:rsidR="00A35AD6" w:rsidRPr="00361CE2" w14:paraId="671D9AE1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988F6E5" w14:textId="696554FA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84" w:type="dxa"/>
            <w:vAlign w:val="bottom"/>
          </w:tcPr>
          <w:p w14:paraId="4674A01C" w14:textId="30D75DF2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843" w:type="dxa"/>
            <w:vAlign w:val="bottom"/>
          </w:tcPr>
          <w:p w14:paraId="032F21C0" w14:textId="61AEEAA4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4.850 €</w:t>
            </w:r>
          </w:p>
        </w:tc>
        <w:tc>
          <w:tcPr>
            <w:tcW w:w="1843" w:type="dxa"/>
            <w:vAlign w:val="bottom"/>
          </w:tcPr>
          <w:p w14:paraId="422E727B" w14:textId="31FE1F3E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993" w:type="dxa"/>
            <w:vAlign w:val="bottom"/>
          </w:tcPr>
          <w:p w14:paraId="0AEAA737" w14:textId="4281AA8D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  <w:r w:rsidR="008C3A0B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A35AD6" w:rsidRPr="00361CE2" w14:paraId="38EB9C81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5CBA8E3" w14:textId="00A05C58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211B1609" w14:textId="4F8A6B6B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843" w:type="dxa"/>
            <w:vAlign w:val="bottom"/>
          </w:tcPr>
          <w:p w14:paraId="27291DA1" w14:textId="72E3D78E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4.429 €</w:t>
            </w:r>
          </w:p>
        </w:tc>
        <w:tc>
          <w:tcPr>
            <w:tcW w:w="1843" w:type="dxa"/>
            <w:vAlign w:val="bottom"/>
          </w:tcPr>
          <w:p w14:paraId="6F627277" w14:textId="4F781759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93" w:type="dxa"/>
            <w:vAlign w:val="bottom"/>
          </w:tcPr>
          <w:p w14:paraId="2ECE3C4A" w14:textId="0D1BB2BF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</w:tr>
      <w:tr w:rsidR="00A35AD6" w:rsidRPr="00361CE2" w14:paraId="7F7103E4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1DFCE7D" w14:textId="360C19D8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84" w:type="dxa"/>
            <w:vAlign w:val="bottom"/>
          </w:tcPr>
          <w:p w14:paraId="42017225" w14:textId="331E8027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 w:rsidRPr="00A35AD6">
              <w:rPr>
                <w:rFonts w:ascii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843" w:type="dxa"/>
            <w:vAlign w:val="bottom"/>
          </w:tcPr>
          <w:p w14:paraId="4C84BC06" w14:textId="5F35433C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4.388 €</w:t>
            </w:r>
          </w:p>
        </w:tc>
        <w:tc>
          <w:tcPr>
            <w:tcW w:w="1843" w:type="dxa"/>
            <w:vAlign w:val="bottom"/>
          </w:tcPr>
          <w:p w14:paraId="1B2E1011" w14:textId="28A1E3A5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993" w:type="dxa"/>
            <w:vAlign w:val="bottom"/>
          </w:tcPr>
          <w:p w14:paraId="512B2681" w14:textId="7BD8AD6A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  <w:r w:rsidR="008C3A0B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A35AD6" w:rsidRPr="00361CE2" w14:paraId="59BBB363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DAF4AA6" w14:textId="5C26E5E2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84" w:type="dxa"/>
            <w:vAlign w:val="bottom"/>
          </w:tcPr>
          <w:p w14:paraId="38CF8FDB" w14:textId="59B15768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Hondarribia</w:t>
            </w:r>
          </w:p>
        </w:tc>
        <w:tc>
          <w:tcPr>
            <w:tcW w:w="1843" w:type="dxa"/>
            <w:vAlign w:val="bottom"/>
          </w:tcPr>
          <w:p w14:paraId="0DCE9E53" w14:textId="417A870D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4.372 €</w:t>
            </w:r>
          </w:p>
        </w:tc>
        <w:tc>
          <w:tcPr>
            <w:tcW w:w="1843" w:type="dxa"/>
            <w:vAlign w:val="bottom"/>
          </w:tcPr>
          <w:p w14:paraId="4A9CA0DB" w14:textId="3EB41C6B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993" w:type="dxa"/>
            <w:vAlign w:val="bottom"/>
          </w:tcPr>
          <w:p w14:paraId="75D3CF11" w14:textId="5750A1E4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</w:tr>
      <w:tr w:rsidR="00A35AD6" w:rsidRPr="00361CE2" w14:paraId="0F7AB2EB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0DDD2AE" w14:textId="72A7222F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28E81E66" w14:textId="329FE32E" w:rsidR="00A35AD6" w:rsidRPr="00A35AD6" w:rsidRDefault="00A35AD6" w:rsidP="00A35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843" w:type="dxa"/>
            <w:vAlign w:val="bottom"/>
          </w:tcPr>
          <w:p w14:paraId="6BE309F1" w14:textId="36C1027B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4.273 €</w:t>
            </w:r>
          </w:p>
        </w:tc>
        <w:tc>
          <w:tcPr>
            <w:tcW w:w="1843" w:type="dxa"/>
            <w:vAlign w:val="bottom"/>
          </w:tcPr>
          <w:p w14:paraId="0001490F" w14:textId="2A9987D0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993" w:type="dxa"/>
            <w:vAlign w:val="bottom"/>
          </w:tcPr>
          <w:p w14:paraId="4C5C6425" w14:textId="026246E5" w:rsidR="00A35AD6" w:rsidRPr="00361CE2" w:rsidRDefault="00A35AD6" w:rsidP="00A35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2,3 %</w:t>
            </w:r>
          </w:p>
        </w:tc>
      </w:tr>
      <w:tr w:rsidR="00A35AD6" w:rsidRPr="00361CE2" w14:paraId="7F107D0A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12E89AE" w14:textId="030D3D27" w:rsidR="00A35AD6" w:rsidRPr="00A35AD6" w:rsidRDefault="00A35AD6" w:rsidP="00A35AD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2164CDC7" w14:textId="616A7EAC" w:rsidR="00A35AD6" w:rsidRPr="00A35AD6" w:rsidRDefault="00A35AD6" w:rsidP="00A3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35AD6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843" w:type="dxa"/>
            <w:vAlign w:val="bottom"/>
          </w:tcPr>
          <w:p w14:paraId="3336FE9F" w14:textId="131BCCE6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4.168 €</w:t>
            </w:r>
          </w:p>
        </w:tc>
        <w:tc>
          <w:tcPr>
            <w:tcW w:w="1843" w:type="dxa"/>
            <w:vAlign w:val="bottom"/>
          </w:tcPr>
          <w:p w14:paraId="5FD2DD7F" w14:textId="1ACCB144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93" w:type="dxa"/>
            <w:vAlign w:val="bottom"/>
          </w:tcPr>
          <w:p w14:paraId="378832C5" w14:textId="130A8795" w:rsidR="00A35AD6" w:rsidRPr="00361CE2" w:rsidRDefault="00A35AD6" w:rsidP="00A35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</w:tr>
    </w:tbl>
    <w:p w14:paraId="037A6377" w14:textId="77777777" w:rsidR="00325EA8" w:rsidRDefault="00325EA8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6538909C" w14:textId="110D5438" w:rsidR="00325EA8" w:rsidRDefault="00602ADF" w:rsidP="00F93FE7">
      <w:pPr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 de Madrid</w:t>
      </w:r>
    </w:p>
    <w:p w14:paraId="46108E1B" w14:textId="77777777" w:rsidR="00325EA8" w:rsidRDefault="00325EA8" w:rsidP="00F93FE7">
      <w:pP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EB1926B" w14:textId="0FA3CA45" w:rsidR="00A35AD6" w:rsidRDefault="005D62B0" w:rsidP="00670C1B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 la vivienda de segunda mano </w:t>
      </w:r>
      <w:r w:rsidR="008E3D8E">
        <w:rPr>
          <w:rFonts w:ascii="Open Sans" w:hAnsi="Open Sans" w:cs="Open Sans"/>
          <w:color w:val="000000"/>
        </w:rPr>
        <w:t>baja</w:t>
      </w:r>
      <w:r w:rsidR="00D07162">
        <w:rPr>
          <w:rFonts w:ascii="Open Sans" w:hAnsi="Open Sans" w:cs="Open Sans"/>
          <w:color w:val="000000"/>
        </w:rPr>
        <w:t xml:space="preserve"> en 1</w:t>
      </w:r>
      <w:r w:rsidR="00A35AD6">
        <w:rPr>
          <w:rFonts w:ascii="Open Sans" w:hAnsi="Open Sans" w:cs="Open Sans"/>
          <w:color w:val="000000"/>
        </w:rPr>
        <w:t>5</w:t>
      </w:r>
      <w:r w:rsidR="00670C1B">
        <w:rPr>
          <w:rFonts w:ascii="Open Sans" w:hAnsi="Open Sans" w:cs="Open Sans"/>
          <w:color w:val="000000"/>
        </w:rPr>
        <w:t xml:space="preserve"> </w:t>
      </w:r>
      <w:r w:rsidR="00D07162">
        <w:rPr>
          <w:rFonts w:ascii="Open Sans" w:hAnsi="Open Sans" w:cs="Open Sans"/>
          <w:color w:val="000000"/>
        </w:rPr>
        <w:t>(</w:t>
      </w:r>
      <w:r w:rsidR="00A35AD6">
        <w:rPr>
          <w:rFonts w:ascii="Open Sans" w:hAnsi="Open Sans" w:cs="Open Sans"/>
          <w:color w:val="000000"/>
        </w:rPr>
        <w:t>71</w:t>
      </w:r>
      <w:r w:rsidR="00D07162">
        <w:rPr>
          <w:rFonts w:ascii="Open Sans" w:hAnsi="Open Sans" w:cs="Open Sans"/>
          <w:color w:val="000000"/>
        </w:rPr>
        <w:t>%) de los 21 d</w:t>
      </w:r>
      <w:r w:rsidR="00325EA8">
        <w:rPr>
          <w:rFonts w:ascii="Open Sans" w:hAnsi="Open Sans" w:cs="Open Sans"/>
          <w:color w:val="000000"/>
        </w:rPr>
        <w:t>istritos</w:t>
      </w:r>
      <w:r w:rsidR="00D07162">
        <w:rPr>
          <w:rFonts w:ascii="Open Sans" w:hAnsi="Open Sans" w:cs="Open Sans"/>
          <w:color w:val="000000"/>
        </w:rPr>
        <w:t xml:space="preserve"> analizados.</w:t>
      </w:r>
      <w:r w:rsidR="007C7B05">
        <w:rPr>
          <w:rFonts w:ascii="Open Sans" w:hAnsi="Open Sans" w:cs="Open Sans"/>
          <w:color w:val="000000"/>
        </w:rPr>
        <w:t xml:space="preserve"> Los</w:t>
      </w:r>
      <w:r w:rsidR="00602ADF">
        <w:rPr>
          <w:rFonts w:ascii="Open Sans" w:hAnsi="Open Sans" w:cs="Open Sans"/>
          <w:color w:val="000000"/>
        </w:rPr>
        <w:t xml:space="preserve"> </w:t>
      </w:r>
      <w:r w:rsidR="007C7B05">
        <w:rPr>
          <w:rFonts w:ascii="Open Sans" w:hAnsi="Open Sans" w:cs="Open Sans"/>
          <w:color w:val="000000"/>
        </w:rPr>
        <w:t xml:space="preserve">distritos con </w:t>
      </w:r>
      <w:r w:rsidR="008E3D8E">
        <w:rPr>
          <w:rFonts w:ascii="Open Sans" w:hAnsi="Open Sans" w:cs="Open Sans"/>
          <w:color w:val="000000"/>
        </w:rPr>
        <w:t>descensos</w:t>
      </w:r>
      <w:r w:rsidR="007C7B05">
        <w:rPr>
          <w:rFonts w:ascii="Open Sans" w:hAnsi="Open Sans" w:cs="Open Sans"/>
          <w:color w:val="000000"/>
        </w:rPr>
        <w:t xml:space="preserve"> son: </w:t>
      </w:r>
      <w:r w:rsidR="00A35AD6" w:rsidRPr="00A35AD6">
        <w:rPr>
          <w:rFonts w:ascii="Open Sans" w:hAnsi="Open Sans" w:cs="Open Sans"/>
          <w:color w:val="000000"/>
        </w:rPr>
        <w:t>Villa de Vallecas</w:t>
      </w:r>
      <w:r w:rsidR="00A35AD6">
        <w:rPr>
          <w:rFonts w:ascii="Open Sans" w:hAnsi="Open Sans" w:cs="Open Sans"/>
          <w:color w:val="000000"/>
        </w:rPr>
        <w:t xml:space="preserve"> (-2,7%), </w:t>
      </w:r>
      <w:r w:rsidR="00A35AD6" w:rsidRPr="00A35AD6">
        <w:rPr>
          <w:rFonts w:ascii="Open Sans" w:hAnsi="Open Sans" w:cs="Open Sans"/>
          <w:color w:val="000000"/>
        </w:rPr>
        <w:t>Vicálvaro</w:t>
      </w:r>
      <w:r w:rsidR="00A35AD6">
        <w:rPr>
          <w:rFonts w:ascii="Open Sans" w:hAnsi="Open Sans" w:cs="Open Sans"/>
          <w:color w:val="000000"/>
        </w:rPr>
        <w:t xml:space="preserve"> (-2%), </w:t>
      </w:r>
      <w:r w:rsidR="00A35AD6" w:rsidRPr="00A35AD6">
        <w:rPr>
          <w:rFonts w:ascii="Open Sans" w:hAnsi="Open Sans" w:cs="Open Sans"/>
          <w:color w:val="000000"/>
        </w:rPr>
        <w:t>Villaverde</w:t>
      </w:r>
      <w:r w:rsidR="00A35AD6">
        <w:rPr>
          <w:rFonts w:ascii="Open Sans" w:hAnsi="Open Sans" w:cs="Open Sans"/>
          <w:color w:val="000000"/>
        </w:rPr>
        <w:t xml:space="preserve"> (-1,8%), </w:t>
      </w:r>
      <w:r w:rsidR="00A35AD6" w:rsidRPr="00A35AD6">
        <w:rPr>
          <w:rFonts w:ascii="Open Sans" w:hAnsi="Open Sans" w:cs="Open Sans"/>
          <w:color w:val="000000"/>
        </w:rPr>
        <w:t>Usera</w:t>
      </w:r>
      <w:r w:rsidR="00A35AD6">
        <w:rPr>
          <w:rFonts w:ascii="Open Sans" w:hAnsi="Open Sans" w:cs="Open Sans"/>
          <w:color w:val="000000"/>
        </w:rPr>
        <w:t xml:space="preserve"> (-1,4%), </w:t>
      </w:r>
      <w:r w:rsidR="00A35AD6" w:rsidRPr="00A35AD6">
        <w:rPr>
          <w:rFonts w:ascii="Open Sans" w:hAnsi="Open Sans" w:cs="Open Sans"/>
          <w:color w:val="000000"/>
        </w:rPr>
        <w:t>Puente de Vallecas</w:t>
      </w:r>
      <w:r w:rsidR="00A35AD6">
        <w:rPr>
          <w:rFonts w:ascii="Open Sans" w:hAnsi="Open Sans" w:cs="Open Sans"/>
          <w:color w:val="000000"/>
        </w:rPr>
        <w:t xml:space="preserve"> (-1,3%), </w:t>
      </w:r>
      <w:r w:rsidR="00A35AD6" w:rsidRPr="00A35AD6">
        <w:rPr>
          <w:rFonts w:ascii="Open Sans" w:hAnsi="Open Sans" w:cs="Open Sans"/>
          <w:color w:val="000000"/>
        </w:rPr>
        <w:t>Ciudad Lineal</w:t>
      </w:r>
      <w:r w:rsidR="00A35AD6">
        <w:rPr>
          <w:rFonts w:ascii="Open Sans" w:hAnsi="Open Sans" w:cs="Open Sans"/>
          <w:color w:val="000000"/>
        </w:rPr>
        <w:t xml:space="preserve"> (-1,3%), </w:t>
      </w:r>
      <w:r w:rsidR="00A35AD6" w:rsidRPr="00A35AD6">
        <w:rPr>
          <w:rFonts w:ascii="Open Sans" w:hAnsi="Open Sans" w:cs="Open Sans"/>
          <w:color w:val="000000"/>
        </w:rPr>
        <w:t>Chamberí</w:t>
      </w:r>
      <w:r w:rsidR="00A35AD6">
        <w:rPr>
          <w:rFonts w:ascii="Open Sans" w:hAnsi="Open Sans" w:cs="Open Sans"/>
          <w:color w:val="000000"/>
        </w:rPr>
        <w:t xml:space="preserve"> (-0,9%), </w:t>
      </w:r>
      <w:r w:rsidR="00A35AD6" w:rsidRPr="00A35AD6">
        <w:rPr>
          <w:rFonts w:ascii="Open Sans" w:hAnsi="Open Sans" w:cs="Open Sans"/>
          <w:color w:val="000000"/>
        </w:rPr>
        <w:t>Centro</w:t>
      </w:r>
      <w:r w:rsidR="00A35AD6">
        <w:rPr>
          <w:rFonts w:ascii="Open Sans" w:hAnsi="Open Sans" w:cs="Open Sans"/>
          <w:color w:val="000000"/>
        </w:rPr>
        <w:t xml:space="preserve"> (-0,6%), </w:t>
      </w:r>
      <w:r w:rsidR="00A35AD6" w:rsidRPr="00A35AD6">
        <w:rPr>
          <w:rFonts w:ascii="Open Sans" w:hAnsi="Open Sans" w:cs="Open Sans"/>
          <w:color w:val="000000"/>
        </w:rPr>
        <w:t>Fuencarral</w:t>
      </w:r>
      <w:r w:rsidR="00A35AD6">
        <w:rPr>
          <w:rFonts w:ascii="Open Sans" w:hAnsi="Open Sans" w:cs="Open Sans"/>
          <w:color w:val="000000"/>
        </w:rPr>
        <w:t xml:space="preserve"> (-0,6%), </w:t>
      </w:r>
      <w:r w:rsidR="00A35AD6" w:rsidRPr="00A35AD6">
        <w:rPr>
          <w:rFonts w:ascii="Open Sans" w:hAnsi="Open Sans" w:cs="Open Sans"/>
          <w:color w:val="000000"/>
        </w:rPr>
        <w:t>Salamanca</w:t>
      </w:r>
      <w:r w:rsidR="00A35AD6">
        <w:rPr>
          <w:rFonts w:ascii="Open Sans" w:hAnsi="Open Sans" w:cs="Open Sans"/>
          <w:color w:val="000000"/>
        </w:rPr>
        <w:t xml:space="preserve"> (-0,5%), </w:t>
      </w:r>
      <w:r w:rsidR="00A35AD6" w:rsidRPr="00A35AD6">
        <w:rPr>
          <w:rFonts w:ascii="Open Sans" w:hAnsi="Open Sans" w:cs="Open Sans"/>
          <w:color w:val="000000"/>
        </w:rPr>
        <w:t>Arganzuela</w:t>
      </w:r>
      <w:r w:rsidR="00A35AD6">
        <w:rPr>
          <w:rFonts w:ascii="Open Sans" w:hAnsi="Open Sans" w:cs="Open Sans"/>
          <w:color w:val="000000"/>
        </w:rPr>
        <w:t xml:space="preserve"> (-0,3%), </w:t>
      </w:r>
      <w:r w:rsidR="00A35AD6" w:rsidRPr="00A35AD6">
        <w:rPr>
          <w:rFonts w:ascii="Open Sans" w:hAnsi="Open Sans" w:cs="Open Sans"/>
          <w:color w:val="000000"/>
        </w:rPr>
        <w:t>Latina</w:t>
      </w:r>
      <w:r w:rsidR="00A35AD6">
        <w:rPr>
          <w:rFonts w:ascii="Open Sans" w:hAnsi="Open Sans" w:cs="Open Sans"/>
          <w:color w:val="000000"/>
        </w:rPr>
        <w:t xml:space="preserve"> (-0,3%), </w:t>
      </w:r>
      <w:r w:rsidR="00A35AD6" w:rsidRPr="00A35AD6">
        <w:rPr>
          <w:rFonts w:ascii="Open Sans" w:hAnsi="Open Sans" w:cs="Open Sans"/>
          <w:color w:val="000000"/>
        </w:rPr>
        <w:t>Tetuán</w:t>
      </w:r>
      <w:r w:rsidR="00A35AD6">
        <w:rPr>
          <w:rFonts w:ascii="Open Sans" w:hAnsi="Open Sans" w:cs="Open Sans"/>
          <w:color w:val="000000"/>
        </w:rPr>
        <w:t xml:space="preserve"> (-0,2%), </w:t>
      </w:r>
      <w:r w:rsidR="00A35AD6" w:rsidRPr="00A35AD6">
        <w:rPr>
          <w:rFonts w:ascii="Open Sans" w:hAnsi="Open Sans" w:cs="Open Sans"/>
          <w:color w:val="000000"/>
        </w:rPr>
        <w:t>Carabanchel</w:t>
      </w:r>
      <w:r w:rsidR="00A35AD6">
        <w:rPr>
          <w:rFonts w:ascii="Open Sans" w:hAnsi="Open Sans" w:cs="Open Sans"/>
          <w:color w:val="000000"/>
        </w:rPr>
        <w:t xml:space="preserve"> (-0,2%) y </w:t>
      </w:r>
      <w:r w:rsidR="00A35AD6" w:rsidRPr="00A35AD6">
        <w:rPr>
          <w:rFonts w:ascii="Open Sans" w:hAnsi="Open Sans" w:cs="Open Sans"/>
          <w:color w:val="000000"/>
        </w:rPr>
        <w:t>Chamartín</w:t>
      </w:r>
      <w:r w:rsidR="00A35AD6">
        <w:rPr>
          <w:rFonts w:ascii="Open Sans" w:hAnsi="Open Sans" w:cs="Open Sans"/>
          <w:color w:val="000000"/>
        </w:rPr>
        <w:t xml:space="preserve"> (-0,01%).</w:t>
      </w:r>
    </w:p>
    <w:p w14:paraId="6BF52FFB" w14:textId="77777777" w:rsidR="00A35AD6" w:rsidRDefault="00A35AD6" w:rsidP="00670C1B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44B614A9" w14:textId="7D70CD2C" w:rsidR="00A35AD6" w:rsidRDefault="00B17F64" w:rsidP="00A35AD6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</w:t>
      </w:r>
      <w:r w:rsidR="00B431BF">
        <w:rPr>
          <w:rFonts w:ascii="Open Sans" w:hAnsi="Open Sans" w:cs="Open Sans"/>
          <w:color w:val="000000"/>
        </w:rPr>
        <w:t xml:space="preserve">los distritos con </w:t>
      </w:r>
      <w:r w:rsidR="008E3D8E">
        <w:rPr>
          <w:rFonts w:ascii="Open Sans" w:hAnsi="Open Sans" w:cs="Open Sans"/>
          <w:color w:val="000000"/>
        </w:rPr>
        <w:t>incrementos</w:t>
      </w:r>
      <w:r w:rsidR="00B431BF">
        <w:rPr>
          <w:rFonts w:ascii="Open Sans" w:hAnsi="Open Sans" w:cs="Open Sans"/>
          <w:color w:val="000000"/>
        </w:rPr>
        <w:t xml:space="preserve"> son:</w:t>
      </w:r>
      <w:r w:rsidR="00A35AD6" w:rsidRPr="00A35AD6">
        <w:t xml:space="preserve"> </w:t>
      </w:r>
      <w:r w:rsidR="00A35AD6" w:rsidRPr="00A35AD6">
        <w:rPr>
          <w:rFonts w:ascii="Open Sans" w:hAnsi="Open Sans" w:cs="Open Sans"/>
          <w:color w:val="000000"/>
        </w:rPr>
        <w:t>San Blas</w:t>
      </w:r>
      <w:r w:rsidR="007F7CD5">
        <w:rPr>
          <w:rFonts w:ascii="Open Sans" w:hAnsi="Open Sans" w:cs="Open Sans"/>
          <w:color w:val="000000"/>
        </w:rPr>
        <w:t xml:space="preserve"> (1,9%), </w:t>
      </w:r>
      <w:r w:rsidR="00A35AD6" w:rsidRPr="00A35AD6">
        <w:rPr>
          <w:rFonts w:ascii="Open Sans" w:hAnsi="Open Sans" w:cs="Open Sans"/>
          <w:color w:val="000000"/>
        </w:rPr>
        <w:t>Barajas</w:t>
      </w:r>
      <w:r w:rsidR="007F7CD5">
        <w:rPr>
          <w:rFonts w:ascii="Open Sans" w:hAnsi="Open Sans" w:cs="Open Sans"/>
          <w:color w:val="000000"/>
        </w:rPr>
        <w:t xml:space="preserve"> (1,2%), </w:t>
      </w:r>
      <w:r w:rsidR="00A35AD6" w:rsidRPr="00A35AD6">
        <w:rPr>
          <w:rFonts w:ascii="Open Sans" w:hAnsi="Open Sans" w:cs="Open Sans"/>
          <w:color w:val="000000"/>
        </w:rPr>
        <w:t>Moncloa</w:t>
      </w:r>
      <w:r w:rsidR="007F7CD5">
        <w:rPr>
          <w:rFonts w:ascii="Open Sans" w:hAnsi="Open Sans" w:cs="Open Sans"/>
          <w:color w:val="000000"/>
        </w:rPr>
        <w:t xml:space="preserve"> (1,1%), </w:t>
      </w:r>
      <w:r w:rsidR="00A35AD6" w:rsidRPr="00A35AD6">
        <w:rPr>
          <w:rFonts w:ascii="Open Sans" w:hAnsi="Open Sans" w:cs="Open Sans"/>
          <w:color w:val="000000"/>
        </w:rPr>
        <w:t>Hortaleza</w:t>
      </w:r>
      <w:r w:rsidR="007F7CD5">
        <w:rPr>
          <w:rFonts w:ascii="Open Sans" w:hAnsi="Open Sans" w:cs="Open Sans"/>
          <w:color w:val="000000"/>
        </w:rPr>
        <w:t xml:space="preserve"> (0,8%), </w:t>
      </w:r>
      <w:r w:rsidR="00A35AD6" w:rsidRPr="00A35AD6">
        <w:rPr>
          <w:rFonts w:ascii="Open Sans" w:hAnsi="Open Sans" w:cs="Open Sans"/>
          <w:color w:val="000000"/>
        </w:rPr>
        <w:t>Retiro</w:t>
      </w:r>
      <w:r w:rsidR="007F7CD5">
        <w:rPr>
          <w:rFonts w:ascii="Open Sans" w:hAnsi="Open Sans" w:cs="Open Sans"/>
          <w:color w:val="000000"/>
        </w:rPr>
        <w:t xml:space="preserve"> (0,6%) y </w:t>
      </w:r>
      <w:r w:rsidR="00A35AD6" w:rsidRPr="00A35AD6">
        <w:rPr>
          <w:rFonts w:ascii="Open Sans" w:hAnsi="Open Sans" w:cs="Open Sans"/>
          <w:color w:val="000000"/>
        </w:rPr>
        <w:t>Moratalaz</w:t>
      </w:r>
      <w:r w:rsidR="00A35AD6">
        <w:rPr>
          <w:rFonts w:ascii="Open Sans" w:hAnsi="Open Sans" w:cs="Open Sans"/>
          <w:color w:val="000000"/>
        </w:rPr>
        <w:t xml:space="preserve"> (</w:t>
      </w:r>
      <w:r w:rsidR="007F7CD5">
        <w:rPr>
          <w:rFonts w:ascii="Open Sans" w:hAnsi="Open Sans" w:cs="Open Sans"/>
          <w:color w:val="000000"/>
        </w:rPr>
        <w:t>0,3</w:t>
      </w:r>
      <w:r w:rsidR="00A35AD6">
        <w:rPr>
          <w:rFonts w:ascii="Open Sans" w:hAnsi="Open Sans" w:cs="Open Sans"/>
          <w:color w:val="000000"/>
        </w:rPr>
        <w:t>%)</w:t>
      </w:r>
      <w:r w:rsidR="007F7CD5">
        <w:rPr>
          <w:rFonts w:ascii="Open Sans" w:hAnsi="Open Sans" w:cs="Open Sans"/>
          <w:color w:val="000000"/>
        </w:rPr>
        <w:t>.</w:t>
      </w:r>
    </w:p>
    <w:p w14:paraId="6EA6991B" w14:textId="77777777" w:rsidR="00A35AD6" w:rsidRDefault="00A35AD6" w:rsidP="008E3D8E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25A3EC07" w14:textId="2442649E" w:rsidR="007C7B05" w:rsidRDefault="007C7B05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al distrito con el precio más elevado destaca una vez más Salamanca con 6.</w:t>
      </w:r>
      <w:r w:rsidR="00602ADF">
        <w:rPr>
          <w:rFonts w:ascii="Open Sans" w:hAnsi="Open Sans" w:cs="Open Sans"/>
          <w:color w:val="000000"/>
        </w:rPr>
        <w:t>1</w:t>
      </w:r>
      <w:r w:rsidR="007F7CD5">
        <w:rPr>
          <w:rFonts w:ascii="Open Sans" w:hAnsi="Open Sans" w:cs="Open Sans"/>
          <w:color w:val="000000"/>
        </w:rPr>
        <w:t>45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 seguida de Chamberí con 5.</w:t>
      </w:r>
      <w:r w:rsidR="007F7CD5">
        <w:rPr>
          <w:rFonts w:ascii="Open Sans" w:hAnsi="Open Sans" w:cs="Open Sans"/>
          <w:color w:val="000000"/>
        </w:rPr>
        <w:t>454</w:t>
      </w:r>
      <w:r w:rsidR="00670C1B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Pr="007C7B05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Por otro lado, </w:t>
      </w:r>
      <w:r w:rsidR="007F7CD5">
        <w:rPr>
          <w:rFonts w:ascii="Open Sans" w:hAnsi="Open Sans" w:cs="Open Sans"/>
          <w:color w:val="000000"/>
        </w:rPr>
        <w:t>los dos</w:t>
      </w:r>
      <w:r w:rsidR="00602ADF">
        <w:rPr>
          <w:rFonts w:ascii="Open Sans" w:hAnsi="Open Sans" w:cs="Open Sans"/>
          <w:color w:val="000000"/>
        </w:rPr>
        <w:t xml:space="preserve"> d</w:t>
      </w:r>
      <w:r>
        <w:rPr>
          <w:rFonts w:ascii="Open Sans" w:hAnsi="Open Sans" w:cs="Open Sans"/>
          <w:color w:val="000000"/>
        </w:rPr>
        <w:t>istrito</w:t>
      </w:r>
      <w:r w:rsidR="007F7CD5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que no supera</w:t>
      </w:r>
      <w:r w:rsidR="007F7CD5">
        <w:rPr>
          <w:rFonts w:ascii="Open Sans" w:hAnsi="Open Sans" w:cs="Open Sans"/>
          <w:color w:val="000000"/>
        </w:rPr>
        <w:t>n</w:t>
      </w:r>
      <w:r>
        <w:rPr>
          <w:rFonts w:ascii="Open Sans" w:hAnsi="Open Sans" w:cs="Open Sans"/>
          <w:color w:val="000000"/>
        </w:rPr>
        <w:t xml:space="preserve"> los 2.000 euros por metro cuadrado </w:t>
      </w:r>
      <w:r w:rsidR="007F7CD5">
        <w:rPr>
          <w:rFonts w:ascii="Open Sans" w:hAnsi="Open Sans" w:cs="Open Sans"/>
          <w:color w:val="000000"/>
        </w:rPr>
        <w:t>son</w:t>
      </w:r>
      <w:r w:rsidRPr="007C7B05">
        <w:rPr>
          <w:rFonts w:ascii="Open Sans" w:hAnsi="Open Sans" w:cs="Open Sans"/>
          <w:color w:val="000000"/>
        </w:rPr>
        <w:t xml:space="preserve"> Villaverde</w:t>
      </w:r>
      <w:r>
        <w:rPr>
          <w:rFonts w:ascii="Open Sans" w:hAnsi="Open Sans" w:cs="Open Sans"/>
          <w:color w:val="000000"/>
        </w:rPr>
        <w:t xml:space="preserve"> con 1.</w:t>
      </w:r>
      <w:r w:rsidR="00602ADF">
        <w:rPr>
          <w:rFonts w:ascii="Open Sans" w:hAnsi="Open Sans" w:cs="Open Sans"/>
          <w:color w:val="000000"/>
        </w:rPr>
        <w:t>8</w:t>
      </w:r>
      <w:r w:rsidR="007F7CD5">
        <w:rPr>
          <w:rFonts w:ascii="Open Sans" w:hAnsi="Open Sans" w:cs="Open Sans"/>
          <w:color w:val="000000"/>
        </w:rPr>
        <w:t>59</w:t>
      </w:r>
      <w:r w:rsidR="00670C1B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="007F7CD5">
        <w:rPr>
          <w:rFonts w:ascii="Open Sans" w:hAnsi="Open Sans" w:cs="Open Sans"/>
          <w:color w:val="000000"/>
        </w:rPr>
        <w:t xml:space="preserve"> y Puente de Vallecas con 1.980 euros/m</w:t>
      </w:r>
      <w:r w:rsidR="007F7CD5" w:rsidRPr="00942078">
        <w:rPr>
          <w:rFonts w:ascii="Open Sans" w:hAnsi="Open Sans" w:cs="Open Sans"/>
          <w:color w:val="000000"/>
          <w:vertAlign w:val="superscript"/>
        </w:rPr>
        <w:t>2</w:t>
      </w:r>
      <w:r w:rsidR="007F7CD5" w:rsidRPr="007F7CD5">
        <w:rPr>
          <w:rFonts w:ascii="Open Sans" w:hAnsi="Open Sans" w:cs="Open Sans"/>
          <w:color w:val="000000"/>
        </w:rPr>
        <w:t>.</w:t>
      </w:r>
    </w:p>
    <w:p w14:paraId="7FA72733" w14:textId="77777777" w:rsidR="002D6A52" w:rsidRDefault="002D6A52" w:rsidP="002D6A52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Distritos con descenso mensual, interanual y precio </w:t>
      </w: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268"/>
      </w:tblGrid>
      <w:tr w:rsidR="00C17526" w:rsidRPr="00DF7476" w14:paraId="26E133EE" w14:textId="77777777" w:rsidTr="00700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032C5D4" w14:textId="77777777" w:rsidR="00C17526" w:rsidRPr="00DF7476" w:rsidRDefault="00C17526" w:rsidP="00F93FE7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</w:tcPr>
          <w:p w14:paraId="36DBF5DC" w14:textId="77777777" w:rsidR="00C17526" w:rsidRPr="00DF747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2F73DA55" w14:textId="77777777" w:rsidR="00C17526" w:rsidRPr="00DF747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0A8BB5D7" w14:textId="77777777" w:rsidR="00C17526" w:rsidRPr="00DF747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2CCBAD1B" w14:textId="77777777" w:rsidR="00C17526" w:rsidRPr="00DF7476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2268" w:type="dxa"/>
          </w:tcPr>
          <w:p w14:paraId="1CBCC0E6" w14:textId="63B03F15" w:rsidR="00C17526" w:rsidRPr="00DF7476" w:rsidRDefault="00C01F16" w:rsidP="0067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BF3E84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.</w:t>
            </w:r>
            <w:r w:rsidR="00CC440E"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</w:t>
            </w:r>
            <w:r w:rsidR="00C17526"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2020</w:t>
            </w:r>
          </w:p>
          <w:p w14:paraId="1040F41A" w14:textId="77777777" w:rsidR="00C17526" w:rsidRPr="00DF7476" w:rsidRDefault="00C17526" w:rsidP="0067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(euros/m²)</w:t>
            </w:r>
          </w:p>
        </w:tc>
      </w:tr>
      <w:tr w:rsidR="00C01F16" w:rsidRPr="00DF7476" w14:paraId="29174EB8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8920AED" w14:textId="0F840108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268" w:type="dxa"/>
            <w:vAlign w:val="bottom"/>
          </w:tcPr>
          <w:p w14:paraId="05B9FB4C" w14:textId="679F7D3D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2126" w:type="dxa"/>
            <w:vAlign w:val="bottom"/>
          </w:tcPr>
          <w:p w14:paraId="4AEA33E1" w14:textId="182E4F69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-4,8 %</w:t>
            </w:r>
          </w:p>
        </w:tc>
        <w:tc>
          <w:tcPr>
            <w:tcW w:w="2268" w:type="dxa"/>
            <w:vAlign w:val="bottom"/>
          </w:tcPr>
          <w:p w14:paraId="15D50B18" w14:textId="3012E84E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2.420 €</w:t>
            </w:r>
          </w:p>
        </w:tc>
      </w:tr>
      <w:tr w:rsidR="00C01F16" w:rsidRPr="00DF7476" w14:paraId="1BE792E6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E33A8C1" w14:textId="5FE864AC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Vicálvaro</w:t>
            </w:r>
          </w:p>
        </w:tc>
        <w:tc>
          <w:tcPr>
            <w:tcW w:w="2268" w:type="dxa"/>
            <w:vAlign w:val="bottom"/>
          </w:tcPr>
          <w:p w14:paraId="1EDDF1FF" w14:textId="4CE0E591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126" w:type="dxa"/>
            <w:vAlign w:val="bottom"/>
          </w:tcPr>
          <w:p w14:paraId="43997D1B" w14:textId="5C32C942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2268" w:type="dxa"/>
            <w:vAlign w:val="bottom"/>
          </w:tcPr>
          <w:p w14:paraId="72615ADC" w14:textId="63BC5877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2.459 €</w:t>
            </w:r>
          </w:p>
        </w:tc>
      </w:tr>
      <w:tr w:rsidR="00C01F16" w:rsidRPr="00DF7476" w14:paraId="704FC70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DFB4777" w14:textId="3319F890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268" w:type="dxa"/>
            <w:vAlign w:val="bottom"/>
          </w:tcPr>
          <w:p w14:paraId="4BF165C3" w14:textId="2D540B7E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126" w:type="dxa"/>
            <w:vAlign w:val="bottom"/>
          </w:tcPr>
          <w:p w14:paraId="06D9D943" w14:textId="033E2E13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-5,1 %</w:t>
            </w:r>
          </w:p>
        </w:tc>
        <w:tc>
          <w:tcPr>
            <w:tcW w:w="2268" w:type="dxa"/>
            <w:vAlign w:val="bottom"/>
          </w:tcPr>
          <w:p w14:paraId="6E7096A2" w14:textId="0B0D40EA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1.859 €</w:t>
            </w:r>
          </w:p>
        </w:tc>
      </w:tr>
      <w:tr w:rsidR="00C01F16" w:rsidRPr="00DF7476" w14:paraId="4DBF9E1B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F923878" w14:textId="62E38030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vAlign w:val="bottom"/>
          </w:tcPr>
          <w:p w14:paraId="678D3BF7" w14:textId="030F6367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126" w:type="dxa"/>
            <w:vAlign w:val="bottom"/>
          </w:tcPr>
          <w:p w14:paraId="304273E8" w14:textId="3F6E551A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-7,1 %</w:t>
            </w:r>
          </w:p>
        </w:tc>
        <w:tc>
          <w:tcPr>
            <w:tcW w:w="2268" w:type="dxa"/>
            <w:vAlign w:val="bottom"/>
          </w:tcPr>
          <w:p w14:paraId="00656AD2" w14:textId="4B46B78B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2.047 €</w:t>
            </w:r>
          </w:p>
        </w:tc>
      </w:tr>
      <w:tr w:rsidR="00C01F16" w:rsidRPr="00DF7476" w14:paraId="58634AF1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B2144E8" w14:textId="0806931A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vAlign w:val="bottom"/>
          </w:tcPr>
          <w:p w14:paraId="565D4B00" w14:textId="18084528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26" w:type="dxa"/>
            <w:vAlign w:val="bottom"/>
          </w:tcPr>
          <w:p w14:paraId="54132D38" w14:textId="2E539723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-4,5 %</w:t>
            </w:r>
          </w:p>
        </w:tc>
        <w:tc>
          <w:tcPr>
            <w:tcW w:w="2268" w:type="dxa"/>
            <w:vAlign w:val="bottom"/>
          </w:tcPr>
          <w:p w14:paraId="7EBA9E99" w14:textId="4D77692D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1.980 €</w:t>
            </w:r>
          </w:p>
        </w:tc>
      </w:tr>
      <w:tr w:rsidR="00C01F16" w:rsidRPr="00DF7476" w14:paraId="45F4227F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43EE706" w14:textId="3D0A404D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vAlign w:val="bottom"/>
          </w:tcPr>
          <w:p w14:paraId="2C31CB77" w14:textId="5E86EA16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26" w:type="dxa"/>
            <w:vAlign w:val="bottom"/>
          </w:tcPr>
          <w:p w14:paraId="0D57587E" w14:textId="3F181DF7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-4,4 %</w:t>
            </w:r>
          </w:p>
        </w:tc>
        <w:tc>
          <w:tcPr>
            <w:tcW w:w="2268" w:type="dxa"/>
            <w:vAlign w:val="bottom"/>
          </w:tcPr>
          <w:p w14:paraId="6AEA9F74" w14:textId="2A1A425B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3.172 €</w:t>
            </w:r>
          </w:p>
        </w:tc>
      </w:tr>
      <w:tr w:rsidR="00C01F16" w:rsidRPr="00DF7476" w14:paraId="6D121065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1DC37A1" w14:textId="4FC13756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vAlign w:val="bottom"/>
          </w:tcPr>
          <w:p w14:paraId="384EFEFE" w14:textId="5B26DA93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26" w:type="dxa"/>
            <w:vAlign w:val="bottom"/>
          </w:tcPr>
          <w:p w14:paraId="49993881" w14:textId="0D52A3E7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268" w:type="dxa"/>
            <w:vAlign w:val="bottom"/>
          </w:tcPr>
          <w:p w14:paraId="16198BBA" w14:textId="0E804A68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5.454 €</w:t>
            </w:r>
          </w:p>
        </w:tc>
      </w:tr>
      <w:tr w:rsidR="00C01F16" w:rsidRPr="00DF7476" w14:paraId="33B5BA2C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90BEAE0" w14:textId="160869CD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vAlign w:val="bottom"/>
          </w:tcPr>
          <w:p w14:paraId="093E7AB4" w14:textId="167FDCE2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6" w:type="dxa"/>
            <w:vAlign w:val="bottom"/>
          </w:tcPr>
          <w:p w14:paraId="3CF61160" w14:textId="1ACA8CC4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268" w:type="dxa"/>
            <w:vAlign w:val="bottom"/>
          </w:tcPr>
          <w:p w14:paraId="47055C60" w14:textId="77C006F0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5.234 €</w:t>
            </w:r>
          </w:p>
        </w:tc>
      </w:tr>
      <w:tr w:rsidR="00C01F16" w:rsidRPr="00DF7476" w14:paraId="2CE46FA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DB40805" w14:textId="440716D0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268" w:type="dxa"/>
            <w:vAlign w:val="bottom"/>
          </w:tcPr>
          <w:p w14:paraId="5EA48015" w14:textId="3E7F5AE2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6" w:type="dxa"/>
            <w:vAlign w:val="bottom"/>
          </w:tcPr>
          <w:p w14:paraId="67D27E6B" w14:textId="27B1D500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2268" w:type="dxa"/>
            <w:vAlign w:val="bottom"/>
          </w:tcPr>
          <w:p w14:paraId="1148B214" w14:textId="0277D976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3.730 €</w:t>
            </w:r>
          </w:p>
        </w:tc>
      </w:tr>
      <w:tr w:rsidR="00C01F16" w:rsidRPr="00DF7476" w14:paraId="2CAF3554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29B161B" w14:textId="11B79751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22ABE081" w14:textId="34D2B417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36D06E69" w14:textId="30AF336C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2268" w:type="dxa"/>
            <w:vAlign w:val="bottom"/>
          </w:tcPr>
          <w:p w14:paraId="752878CD" w14:textId="4A799715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6.145 €</w:t>
            </w:r>
          </w:p>
        </w:tc>
      </w:tr>
      <w:tr w:rsidR="00C01F16" w:rsidRPr="00DF7476" w14:paraId="10F2FB0E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89D9DDF" w14:textId="4193A5D4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Arganzuela</w:t>
            </w:r>
          </w:p>
        </w:tc>
        <w:tc>
          <w:tcPr>
            <w:tcW w:w="2268" w:type="dxa"/>
            <w:vAlign w:val="bottom"/>
          </w:tcPr>
          <w:p w14:paraId="31BE635B" w14:textId="614AD00A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6" w:type="dxa"/>
            <w:vAlign w:val="bottom"/>
          </w:tcPr>
          <w:p w14:paraId="6FF670BF" w14:textId="648FE24F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268" w:type="dxa"/>
            <w:vAlign w:val="bottom"/>
          </w:tcPr>
          <w:p w14:paraId="5C5055A8" w14:textId="368D0156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4.096 €</w:t>
            </w:r>
          </w:p>
        </w:tc>
      </w:tr>
      <w:tr w:rsidR="00C01F16" w:rsidRPr="00DF7476" w14:paraId="0F594A82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4960693" w14:textId="330D50CD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vAlign w:val="bottom"/>
          </w:tcPr>
          <w:p w14:paraId="1A8721FA" w14:textId="6F0DE81F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6" w:type="dxa"/>
            <w:vAlign w:val="bottom"/>
          </w:tcPr>
          <w:p w14:paraId="4D2F2EDD" w14:textId="1DABBACE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-3,7 %</w:t>
            </w:r>
          </w:p>
        </w:tc>
        <w:tc>
          <w:tcPr>
            <w:tcW w:w="2268" w:type="dxa"/>
            <w:vAlign w:val="bottom"/>
          </w:tcPr>
          <w:p w14:paraId="2625B339" w14:textId="713B3CB2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2.400 €</w:t>
            </w:r>
          </w:p>
        </w:tc>
      </w:tr>
      <w:tr w:rsidR="00C01F16" w:rsidRPr="00DF7476" w14:paraId="2B1E13E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F8C0490" w14:textId="081A4B66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vAlign w:val="bottom"/>
          </w:tcPr>
          <w:p w14:paraId="6997F003" w14:textId="50C4C8ED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04DF8BEB" w14:textId="138E7BCD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0F076E45" w14:textId="438327AC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3.823 €</w:t>
            </w:r>
          </w:p>
        </w:tc>
      </w:tr>
      <w:tr w:rsidR="00C01F16" w:rsidRPr="00DF7476" w14:paraId="7111F78C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BED44CD" w14:textId="556FF0D2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vAlign w:val="bottom"/>
          </w:tcPr>
          <w:p w14:paraId="187550CE" w14:textId="3FF9263F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67A9AAA0" w14:textId="46F8C898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268" w:type="dxa"/>
            <w:vAlign w:val="bottom"/>
          </w:tcPr>
          <w:p w14:paraId="7303BA60" w14:textId="2041BC5F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2.305 €</w:t>
            </w:r>
          </w:p>
        </w:tc>
      </w:tr>
      <w:tr w:rsidR="00C01F16" w:rsidRPr="00DF7476" w14:paraId="3B0978B6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952ADAB" w14:textId="58C3EE24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vAlign w:val="bottom"/>
          </w:tcPr>
          <w:p w14:paraId="53DD640B" w14:textId="607B983F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-0,01 %</w:t>
            </w:r>
          </w:p>
        </w:tc>
        <w:tc>
          <w:tcPr>
            <w:tcW w:w="2126" w:type="dxa"/>
            <w:vAlign w:val="bottom"/>
          </w:tcPr>
          <w:p w14:paraId="6F53DB8D" w14:textId="2A7FBFBC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268" w:type="dxa"/>
            <w:vAlign w:val="bottom"/>
          </w:tcPr>
          <w:p w14:paraId="7F1A9D17" w14:textId="17DD5109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5.180 €</w:t>
            </w:r>
          </w:p>
        </w:tc>
      </w:tr>
      <w:tr w:rsidR="00C01F16" w:rsidRPr="00DF7476" w14:paraId="0D854552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568B39C" w14:textId="11202694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Moratalaz</w:t>
            </w:r>
          </w:p>
        </w:tc>
        <w:tc>
          <w:tcPr>
            <w:tcW w:w="2268" w:type="dxa"/>
            <w:vAlign w:val="bottom"/>
          </w:tcPr>
          <w:p w14:paraId="4CBF4B2D" w14:textId="3BE306C8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126" w:type="dxa"/>
            <w:vAlign w:val="bottom"/>
          </w:tcPr>
          <w:p w14:paraId="61B3DF94" w14:textId="6EA36B0E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268" w:type="dxa"/>
            <w:vAlign w:val="bottom"/>
          </w:tcPr>
          <w:p w14:paraId="4C950FA0" w14:textId="16AE79C7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2.626 €</w:t>
            </w:r>
          </w:p>
        </w:tc>
      </w:tr>
      <w:tr w:rsidR="00C01F16" w:rsidRPr="00DF7476" w14:paraId="7BF44BBB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CC1063F" w14:textId="30000654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vAlign w:val="bottom"/>
          </w:tcPr>
          <w:p w14:paraId="24198637" w14:textId="0200559A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126" w:type="dxa"/>
            <w:vAlign w:val="bottom"/>
          </w:tcPr>
          <w:p w14:paraId="023EB1F8" w14:textId="045095E7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-5,1 %</w:t>
            </w:r>
          </w:p>
        </w:tc>
        <w:tc>
          <w:tcPr>
            <w:tcW w:w="2268" w:type="dxa"/>
            <w:vAlign w:val="bottom"/>
          </w:tcPr>
          <w:p w14:paraId="3A3E1D3C" w14:textId="2D6D9798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4.824 €</w:t>
            </w:r>
          </w:p>
        </w:tc>
      </w:tr>
      <w:tr w:rsidR="00C01F16" w:rsidRPr="00DF7476" w14:paraId="39631BB3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60A39F8" w14:textId="68AA17E2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vAlign w:val="bottom"/>
          </w:tcPr>
          <w:p w14:paraId="315ED4CF" w14:textId="0C6D6BD1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126" w:type="dxa"/>
            <w:vAlign w:val="bottom"/>
          </w:tcPr>
          <w:p w14:paraId="1E16CA64" w14:textId="62ABCA7C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268" w:type="dxa"/>
            <w:vAlign w:val="bottom"/>
          </w:tcPr>
          <w:p w14:paraId="6B5F12DA" w14:textId="7CEBC2F0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3.803 €</w:t>
            </w:r>
          </w:p>
        </w:tc>
      </w:tr>
      <w:tr w:rsidR="00C01F16" w:rsidRPr="00DF7476" w14:paraId="09BBA787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A2A6816" w14:textId="57724FD6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268" w:type="dxa"/>
            <w:vAlign w:val="bottom"/>
          </w:tcPr>
          <w:p w14:paraId="37E7E777" w14:textId="23F9DA3E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126" w:type="dxa"/>
            <w:vAlign w:val="bottom"/>
          </w:tcPr>
          <w:p w14:paraId="56A7810B" w14:textId="117D3A6F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5,9 %</w:t>
            </w:r>
          </w:p>
        </w:tc>
        <w:tc>
          <w:tcPr>
            <w:tcW w:w="2268" w:type="dxa"/>
            <w:vAlign w:val="bottom"/>
          </w:tcPr>
          <w:p w14:paraId="730E6167" w14:textId="20DF46C5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4.558 €</w:t>
            </w:r>
          </w:p>
        </w:tc>
      </w:tr>
      <w:tr w:rsidR="00C01F16" w:rsidRPr="00DF7476" w14:paraId="0DF56DDF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F16AA4D" w14:textId="26F02332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268" w:type="dxa"/>
            <w:vAlign w:val="bottom"/>
          </w:tcPr>
          <w:p w14:paraId="23903805" w14:textId="446DB6F5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126" w:type="dxa"/>
            <w:vAlign w:val="bottom"/>
          </w:tcPr>
          <w:p w14:paraId="6EC1EEF5" w14:textId="582507C4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268" w:type="dxa"/>
            <w:vAlign w:val="bottom"/>
          </w:tcPr>
          <w:p w14:paraId="20F9105C" w14:textId="223DEFF9" w:rsidR="00C01F16" w:rsidRPr="00DF7476" w:rsidRDefault="00C01F16" w:rsidP="00C01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3.360 €</w:t>
            </w:r>
          </w:p>
        </w:tc>
      </w:tr>
      <w:tr w:rsidR="00C01F16" w:rsidRPr="00DF7476" w14:paraId="08040CC6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B84AC53" w14:textId="6B9F1C2D" w:rsidR="00C01F16" w:rsidRPr="00C01F16" w:rsidRDefault="00C01F16" w:rsidP="00C01F1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01F1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vAlign w:val="bottom"/>
          </w:tcPr>
          <w:p w14:paraId="4BD3BB5A" w14:textId="019FF11B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126" w:type="dxa"/>
            <w:vAlign w:val="bottom"/>
          </w:tcPr>
          <w:p w14:paraId="14C74550" w14:textId="14287F4E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3BBACAD4" w14:textId="5AEEE64C" w:rsidR="00C01F16" w:rsidRPr="00DF7476" w:rsidRDefault="00C01F16" w:rsidP="00C01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2.725 €</w:t>
            </w:r>
          </w:p>
        </w:tc>
      </w:tr>
    </w:tbl>
    <w:p w14:paraId="13F8B152" w14:textId="593BF97D" w:rsidR="00C17526" w:rsidRDefault="00C17526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43820BF5" w14:textId="60FF8A7C" w:rsidR="005D62B0" w:rsidRDefault="00BC3A74" w:rsidP="00F93FE7">
      <w:pPr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</w:t>
      </w:r>
      <w:r w:rsidR="005D62B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istritos de Barcelona </w:t>
      </w:r>
    </w:p>
    <w:p w14:paraId="6F118A25" w14:textId="77777777" w:rsidR="005D62B0" w:rsidRDefault="005D62B0" w:rsidP="00F93FE7">
      <w:pP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5BF39F3D" w14:textId="64800B03" w:rsidR="00F05F05" w:rsidRPr="00F05F05" w:rsidRDefault="005D62B0" w:rsidP="00F05F05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 la vivienda de segunda mano </w:t>
      </w:r>
      <w:r w:rsidR="004D2A3E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F05F05">
        <w:rPr>
          <w:rFonts w:ascii="Open Sans" w:hAnsi="Open Sans" w:cs="Open Sans"/>
          <w:color w:val="000000"/>
        </w:rPr>
        <w:t>siete</w:t>
      </w:r>
      <w:r>
        <w:rPr>
          <w:rFonts w:ascii="Open Sans" w:hAnsi="Open Sans" w:cs="Open Sans"/>
          <w:color w:val="000000"/>
        </w:rPr>
        <w:t xml:space="preserve"> (</w:t>
      </w:r>
      <w:r w:rsidR="00F05F05">
        <w:rPr>
          <w:rFonts w:ascii="Open Sans" w:hAnsi="Open Sans" w:cs="Open Sans"/>
          <w:color w:val="000000"/>
        </w:rPr>
        <w:t>7</w:t>
      </w:r>
      <w:r>
        <w:rPr>
          <w:rFonts w:ascii="Open Sans" w:hAnsi="Open Sans" w:cs="Open Sans"/>
          <w:color w:val="000000"/>
        </w:rPr>
        <w:t xml:space="preserve">0%) de los diez distritos analizados. Los distritos con mayores </w:t>
      </w:r>
      <w:r w:rsidR="0034704A">
        <w:rPr>
          <w:rFonts w:ascii="Open Sans" w:hAnsi="Open Sans" w:cs="Open Sans"/>
          <w:color w:val="000000"/>
        </w:rPr>
        <w:t>descensos</w:t>
      </w:r>
      <w:r>
        <w:rPr>
          <w:rFonts w:ascii="Open Sans" w:hAnsi="Open Sans" w:cs="Open Sans"/>
          <w:color w:val="000000"/>
        </w:rPr>
        <w:t xml:space="preserve"> son:</w:t>
      </w:r>
      <w:r w:rsidR="0034704A" w:rsidRPr="00F05F05">
        <w:rPr>
          <w:rFonts w:ascii="Open Sans" w:hAnsi="Open Sans" w:cs="Open Sans"/>
          <w:color w:val="000000"/>
        </w:rPr>
        <w:t xml:space="preserve"> </w:t>
      </w:r>
      <w:r w:rsidR="00F05F05" w:rsidRPr="00F05F05">
        <w:rPr>
          <w:rFonts w:ascii="Open Sans" w:hAnsi="Open Sans" w:cs="Open Sans"/>
          <w:color w:val="000000"/>
        </w:rPr>
        <w:t>Sant Andreu</w:t>
      </w:r>
      <w:r w:rsidR="00F05F05">
        <w:rPr>
          <w:rFonts w:ascii="Open Sans" w:hAnsi="Open Sans" w:cs="Open Sans"/>
          <w:color w:val="000000"/>
        </w:rPr>
        <w:t xml:space="preserve"> (-2,2%), </w:t>
      </w:r>
      <w:r w:rsidR="00F05F05" w:rsidRPr="00F05F05">
        <w:rPr>
          <w:rFonts w:ascii="Open Sans" w:hAnsi="Open Sans" w:cs="Open Sans"/>
          <w:color w:val="000000"/>
        </w:rPr>
        <w:t>Gràcia</w:t>
      </w:r>
      <w:r w:rsidR="00F05F05">
        <w:rPr>
          <w:rFonts w:ascii="Open Sans" w:hAnsi="Open Sans" w:cs="Open Sans"/>
          <w:color w:val="000000"/>
        </w:rPr>
        <w:t xml:space="preserve"> (-1,2%), </w:t>
      </w:r>
      <w:r w:rsidR="00F05F05" w:rsidRPr="00F05F05">
        <w:rPr>
          <w:rFonts w:ascii="Open Sans" w:hAnsi="Open Sans" w:cs="Open Sans"/>
          <w:color w:val="000000"/>
        </w:rPr>
        <w:t xml:space="preserve">Nou </w:t>
      </w:r>
      <w:proofErr w:type="spellStart"/>
      <w:r w:rsidR="00F05F05" w:rsidRPr="00F05F05">
        <w:rPr>
          <w:rFonts w:ascii="Open Sans" w:hAnsi="Open Sans" w:cs="Open Sans"/>
          <w:color w:val="000000"/>
        </w:rPr>
        <w:t>Barris</w:t>
      </w:r>
      <w:proofErr w:type="spellEnd"/>
      <w:r w:rsidR="00F05F05">
        <w:rPr>
          <w:rFonts w:ascii="Open Sans" w:hAnsi="Open Sans" w:cs="Open Sans"/>
          <w:color w:val="000000"/>
        </w:rPr>
        <w:t xml:space="preserve"> (-1%), </w:t>
      </w:r>
      <w:r w:rsidR="00F05F05" w:rsidRPr="00F05F05">
        <w:rPr>
          <w:rFonts w:ascii="Open Sans" w:hAnsi="Open Sans" w:cs="Open Sans"/>
          <w:color w:val="000000"/>
        </w:rPr>
        <w:t>Eixample</w:t>
      </w:r>
      <w:r w:rsidR="00F05F05">
        <w:rPr>
          <w:rFonts w:ascii="Open Sans" w:hAnsi="Open Sans" w:cs="Open Sans"/>
          <w:color w:val="000000"/>
        </w:rPr>
        <w:t xml:space="preserve"> (-0,9%), </w:t>
      </w:r>
      <w:r w:rsidR="00F05F05" w:rsidRPr="00F05F05">
        <w:rPr>
          <w:rFonts w:ascii="Open Sans" w:hAnsi="Open Sans" w:cs="Open Sans"/>
          <w:color w:val="000000"/>
        </w:rPr>
        <w:t>Les Corts</w:t>
      </w:r>
      <w:r w:rsidR="00F05F05">
        <w:rPr>
          <w:rFonts w:ascii="Open Sans" w:hAnsi="Open Sans" w:cs="Open Sans"/>
          <w:color w:val="000000"/>
        </w:rPr>
        <w:t xml:space="preserve"> (-0,6%), </w:t>
      </w:r>
      <w:r w:rsidR="00F05F05" w:rsidRPr="00F05F05">
        <w:rPr>
          <w:rFonts w:ascii="Open Sans" w:hAnsi="Open Sans" w:cs="Open Sans"/>
          <w:color w:val="000000"/>
        </w:rPr>
        <w:t>Sant Martí</w:t>
      </w:r>
      <w:r w:rsidR="00F05F05">
        <w:rPr>
          <w:rFonts w:ascii="Open Sans" w:hAnsi="Open Sans" w:cs="Open Sans"/>
          <w:color w:val="000000"/>
        </w:rPr>
        <w:t xml:space="preserve"> (-0,5%) y </w:t>
      </w:r>
      <w:r w:rsidR="00F05F05" w:rsidRPr="00F05F05">
        <w:rPr>
          <w:rFonts w:ascii="Open Sans" w:hAnsi="Open Sans" w:cs="Open Sans"/>
          <w:color w:val="000000"/>
        </w:rPr>
        <w:t>Sants - Montjuïc</w:t>
      </w:r>
      <w:r w:rsidR="00F05F05">
        <w:rPr>
          <w:rFonts w:ascii="Open Sans" w:hAnsi="Open Sans" w:cs="Open Sans"/>
          <w:color w:val="000000"/>
        </w:rPr>
        <w:t xml:space="preserve"> (-0,2%).</w:t>
      </w:r>
    </w:p>
    <w:p w14:paraId="1D7EC027" w14:textId="77777777" w:rsidR="00EA6A99" w:rsidRDefault="00EA6A99" w:rsidP="00C6705A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0A1F37F5" w14:textId="37DA5726" w:rsidR="00F05F05" w:rsidRDefault="00C6705A" w:rsidP="00F05F05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</w:t>
      </w:r>
      <w:r w:rsidR="00EA6A99">
        <w:rPr>
          <w:rFonts w:ascii="Open Sans" w:hAnsi="Open Sans" w:cs="Open Sans"/>
          <w:color w:val="000000"/>
        </w:rPr>
        <w:t xml:space="preserve">los </w:t>
      </w:r>
      <w:r>
        <w:rPr>
          <w:rFonts w:ascii="Open Sans" w:hAnsi="Open Sans" w:cs="Open Sans"/>
          <w:color w:val="000000"/>
        </w:rPr>
        <w:t>distrito</w:t>
      </w:r>
      <w:r w:rsidR="00EA6A99">
        <w:rPr>
          <w:rFonts w:ascii="Open Sans" w:hAnsi="Open Sans" w:cs="Open Sans"/>
          <w:color w:val="000000"/>
        </w:rPr>
        <w:t>s con</w:t>
      </w:r>
      <w:r>
        <w:rPr>
          <w:rFonts w:ascii="Open Sans" w:hAnsi="Open Sans" w:cs="Open Sans"/>
          <w:color w:val="000000"/>
        </w:rPr>
        <w:t xml:space="preserve"> incremento</w:t>
      </w:r>
      <w:r w:rsidR="00EA6A99">
        <w:rPr>
          <w:rFonts w:ascii="Open Sans" w:hAnsi="Open Sans" w:cs="Open Sans"/>
          <w:color w:val="000000"/>
        </w:rPr>
        <w:t>s son:</w:t>
      </w:r>
      <w:r w:rsidR="00EA6A99" w:rsidRPr="0034704A">
        <w:rPr>
          <w:rFonts w:ascii="Open Sans" w:hAnsi="Open Sans" w:cs="Open Sans"/>
          <w:color w:val="000000"/>
        </w:rPr>
        <w:t xml:space="preserve"> </w:t>
      </w:r>
      <w:r w:rsidR="00F05F05" w:rsidRPr="00F05F05">
        <w:rPr>
          <w:rFonts w:ascii="Open Sans" w:hAnsi="Open Sans" w:cs="Open Sans"/>
          <w:color w:val="000000"/>
        </w:rPr>
        <w:t>Sarrià - Sant Gervasi</w:t>
      </w:r>
      <w:r w:rsidR="00F05F05">
        <w:rPr>
          <w:rFonts w:ascii="Open Sans" w:hAnsi="Open Sans" w:cs="Open Sans"/>
          <w:color w:val="000000"/>
        </w:rPr>
        <w:t xml:space="preserve">  (2,1%), </w:t>
      </w:r>
      <w:proofErr w:type="spellStart"/>
      <w:r w:rsidR="00F05F05" w:rsidRPr="00F05F05">
        <w:rPr>
          <w:rFonts w:ascii="Open Sans" w:hAnsi="Open Sans" w:cs="Open Sans"/>
          <w:color w:val="000000"/>
        </w:rPr>
        <w:t>Ciutat</w:t>
      </w:r>
      <w:proofErr w:type="spellEnd"/>
      <w:r w:rsidR="00F05F05" w:rsidRPr="00F05F05">
        <w:rPr>
          <w:rFonts w:ascii="Open Sans" w:hAnsi="Open Sans" w:cs="Open Sans"/>
          <w:color w:val="000000"/>
        </w:rPr>
        <w:t xml:space="preserve"> Vella</w:t>
      </w:r>
      <w:r w:rsidR="00F05F05">
        <w:rPr>
          <w:rFonts w:ascii="Open Sans" w:hAnsi="Open Sans" w:cs="Open Sans"/>
          <w:color w:val="000000"/>
        </w:rPr>
        <w:t xml:space="preserve">  (1%) y </w:t>
      </w:r>
      <w:r w:rsidR="00F05F05" w:rsidRPr="00F05F05">
        <w:rPr>
          <w:rFonts w:ascii="Open Sans" w:hAnsi="Open Sans" w:cs="Open Sans"/>
          <w:color w:val="000000"/>
        </w:rPr>
        <w:t xml:space="preserve">Horta </w:t>
      </w:r>
      <w:r w:rsidR="00F05F05">
        <w:rPr>
          <w:rFonts w:ascii="Open Sans" w:hAnsi="Open Sans" w:cs="Open Sans"/>
          <w:color w:val="000000"/>
        </w:rPr>
        <w:t>–</w:t>
      </w:r>
      <w:r w:rsidR="00F05F05" w:rsidRPr="00F05F05">
        <w:rPr>
          <w:rFonts w:ascii="Open Sans" w:hAnsi="Open Sans" w:cs="Open Sans"/>
          <w:color w:val="000000"/>
        </w:rPr>
        <w:t xml:space="preserve"> Guinardó</w:t>
      </w:r>
      <w:r w:rsidR="00F05F05">
        <w:rPr>
          <w:rFonts w:ascii="Open Sans" w:hAnsi="Open Sans" w:cs="Open Sans"/>
          <w:color w:val="000000"/>
        </w:rPr>
        <w:t xml:space="preserve"> (0,3%).</w:t>
      </w:r>
    </w:p>
    <w:p w14:paraId="59702B68" w14:textId="77777777" w:rsidR="00F05F05" w:rsidRDefault="00F05F05" w:rsidP="0034704A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1DF299CC" w14:textId="36E295B7" w:rsidR="004E1425" w:rsidRDefault="005D62B0" w:rsidP="004E1425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distrito con el precio más elevado destaca una vez más </w:t>
      </w:r>
      <w:r w:rsidRPr="005D62B0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con </w:t>
      </w:r>
      <w:r w:rsidR="004D2A3E">
        <w:rPr>
          <w:rFonts w:ascii="Open Sans" w:hAnsi="Open Sans" w:cs="Open Sans"/>
          <w:color w:val="000000"/>
        </w:rPr>
        <w:t>5.</w:t>
      </w:r>
      <w:r w:rsidR="00F05F05">
        <w:rPr>
          <w:rFonts w:ascii="Open Sans" w:hAnsi="Open Sans" w:cs="Open Sans"/>
          <w:color w:val="000000"/>
        </w:rPr>
        <w:t>730</w:t>
      </w:r>
      <w:r w:rsidR="00522CA0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>
        <w:rPr>
          <w:rFonts w:ascii="Open Sans" w:hAnsi="Open Sans" w:cs="Open Sans"/>
          <w:color w:val="000000"/>
        </w:rPr>
        <w:t xml:space="preserve">, seguida de </w:t>
      </w:r>
      <w:r w:rsidR="00F05F05" w:rsidRPr="00F05F05">
        <w:rPr>
          <w:rFonts w:ascii="Open Sans" w:hAnsi="Open Sans" w:cs="Open Sans"/>
          <w:color w:val="000000"/>
        </w:rPr>
        <w:t>Les Corts</w:t>
      </w:r>
      <w:r w:rsidR="00F05F0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 5.</w:t>
      </w:r>
      <w:r w:rsidR="00F05F05">
        <w:rPr>
          <w:rFonts w:ascii="Open Sans" w:hAnsi="Open Sans" w:cs="Open Sans"/>
          <w:color w:val="000000"/>
        </w:rPr>
        <w:t>467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Pr="007C7B05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Por otro lado, el único distrito que no supera los 3.000 euros por metro cuadrado </w:t>
      </w:r>
      <w:r w:rsidRPr="007C7B05">
        <w:rPr>
          <w:rFonts w:ascii="Open Sans" w:hAnsi="Open Sans" w:cs="Open Sans"/>
          <w:color w:val="000000"/>
        </w:rPr>
        <w:t xml:space="preserve">es </w:t>
      </w:r>
      <w:r w:rsidRPr="005D62B0">
        <w:rPr>
          <w:rFonts w:ascii="Open Sans" w:hAnsi="Open Sans" w:cs="Open Sans"/>
          <w:color w:val="000000"/>
        </w:rPr>
        <w:t xml:space="preserve">Nou </w:t>
      </w:r>
      <w:proofErr w:type="spellStart"/>
      <w:r w:rsidRPr="005D62B0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con 2.</w:t>
      </w:r>
      <w:r w:rsidR="00F05F05">
        <w:rPr>
          <w:rFonts w:ascii="Open Sans" w:hAnsi="Open Sans" w:cs="Open Sans"/>
          <w:color w:val="000000"/>
        </w:rPr>
        <w:t>258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="00522CA0">
        <w:rPr>
          <w:rFonts w:ascii="Open Sans" w:hAnsi="Open Sans" w:cs="Open Sans"/>
          <w:color w:val="000000"/>
        </w:rPr>
        <w:t>.</w:t>
      </w:r>
      <w:r w:rsidR="004E1425">
        <w:rPr>
          <w:rFonts w:ascii="Open Sans" w:hAnsi="Open Sans" w:cs="Open Sans"/>
          <w:color w:val="000000"/>
        </w:rPr>
        <w:t xml:space="preserve"> </w:t>
      </w:r>
    </w:p>
    <w:p w14:paraId="00434CFF" w14:textId="76ED6EAE" w:rsidR="002D6A52" w:rsidRDefault="002D6A52" w:rsidP="002D6A52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Distritos con descenso mensual, interanual y precio </w:t>
      </w: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984"/>
      </w:tblGrid>
      <w:tr w:rsidR="00E90069" w:rsidRPr="008F0AF1" w14:paraId="2C5428B5" w14:textId="77777777" w:rsidTr="004D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659A93F" w14:textId="638FF726" w:rsidR="00E90069" w:rsidRPr="008F0AF1" w:rsidRDefault="00E90069" w:rsidP="00E90069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</w:tcPr>
          <w:p w14:paraId="70CB0F65" w14:textId="77777777" w:rsidR="00E90069" w:rsidRPr="00DF7476" w:rsidRDefault="00E90069" w:rsidP="00E90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35C74B7C" w14:textId="391A82CA" w:rsidR="00E90069" w:rsidRPr="008F0AF1" w:rsidRDefault="00E90069" w:rsidP="00E90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4315D48E" w14:textId="77777777" w:rsidR="00E90069" w:rsidRPr="00DF7476" w:rsidRDefault="00E90069" w:rsidP="00E90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Variación</w:t>
            </w:r>
          </w:p>
          <w:p w14:paraId="70CC6EE0" w14:textId="37882D5E" w:rsidR="00E90069" w:rsidRPr="008F0AF1" w:rsidRDefault="00E90069" w:rsidP="00E90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84" w:type="dxa"/>
          </w:tcPr>
          <w:p w14:paraId="29D640DE" w14:textId="58209698" w:rsidR="00E90069" w:rsidRPr="00DF7476" w:rsidRDefault="0032673D" w:rsidP="00E90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Nov</w:t>
            </w:r>
            <w:r w:rsidR="00BF3E84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.</w:t>
            </w:r>
            <w:r w:rsidR="00E90069"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 xml:space="preserve"> 2020</w:t>
            </w:r>
          </w:p>
          <w:p w14:paraId="72FE9983" w14:textId="1B83544D" w:rsidR="00E90069" w:rsidRPr="008F0AF1" w:rsidRDefault="00E90069" w:rsidP="00E90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F7476"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  <w:t>(euros/m²)</w:t>
            </w:r>
          </w:p>
        </w:tc>
      </w:tr>
      <w:tr w:rsidR="0032673D" w:rsidRPr="008F0AF1" w14:paraId="641177E5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3AA73CF" w14:textId="4B7CD0DA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268" w:type="dxa"/>
            <w:vAlign w:val="bottom"/>
          </w:tcPr>
          <w:p w14:paraId="2D298DB0" w14:textId="501F9A3C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126" w:type="dxa"/>
            <w:vAlign w:val="bottom"/>
          </w:tcPr>
          <w:p w14:paraId="2E2D6956" w14:textId="51D6D707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-4,6 %</w:t>
            </w:r>
          </w:p>
        </w:tc>
        <w:tc>
          <w:tcPr>
            <w:tcW w:w="1984" w:type="dxa"/>
            <w:vAlign w:val="bottom"/>
          </w:tcPr>
          <w:p w14:paraId="1F2EDE43" w14:textId="2A711478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3.150 €</w:t>
            </w:r>
          </w:p>
        </w:tc>
      </w:tr>
      <w:tr w:rsidR="0032673D" w:rsidRPr="008F0AF1" w14:paraId="7ADEE46A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D3177F1" w14:textId="5996ACE7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268" w:type="dxa"/>
            <w:vAlign w:val="bottom"/>
          </w:tcPr>
          <w:p w14:paraId="3DD313AB" w14:textId="460F25C6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6" w:type="dxa"/>
            <w:vAlign w:val="bottom"/>
          </w:tcPr>
          <w:p w14:paraId="65A66D06" w14:textId="15D1A6C2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-6,1 %</w:t>
            </w:r>
          </w:p>
        </w:tc>
        <w:tc>
          <w:tcPr>
            <w:tcW w:w="1984" w:type="dxa"/>
            <w:vAlign w:val="bottom"/>
          </w:tcPr>
          <w:p w14:paraId="3CB15A38" w14:textId="41F77A75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4.389 €</w:t>
            </w:r>
          </w:p>
        </w:tc>
      </w:tr>
      <w:tr w:rsidR="0032673D" w:rsidRPr="008F0AF1" w14:paraId="21AA1C69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3EDC10D" w14:textId="708BDD70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Nou </w:t>
            </w:r>
            <w:proofErr w:type="spellStart"/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268" w:type="dxa"/>
            <w:vAlign w:val="bottom"/>
          </w:tcPr>
          <w:p w14:paraId="6313E404" w14:textId="6F860C28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126" w:type="dxa"/>
            <w:vAlign w:val="bottom"/>
          </w:tcPr>
          <w:p w14:paraId="0D1F548F" w14:textId="3A245AFB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-4,3 %</w:t>
            </w:r>
          </w:p>
        </w:tc>
        <w:tc>
          <w:tcPr>
            <w:tcW w:w="1984" w:type="dxa"/>
            <w:vAlign w:val="bottom"/>
          </w:tcPr>
          <w:p w14:paraId="05FBA308" w14:textId="7B222764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2.558 €</w:t>
            </w:r>
          </w:p>
        </w:tc>
      </w:tr>
      <w:tr w:rsidR="0032673D" w:rsidRPr="008F0AF1" w14:paraId="22D7BAF3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610ABF5" w14:textId="615FC3F5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268" w:type="dxa"/>
            <w:vAlign w:val="bottom"/>
          </w:tcPr>
          <w:p w14:paraId="18A1983E" w14:textId="1C1547D9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26" w:type="dxa"/>
            <w:vAlign w:val="bottom"/>
          </w:tcPr>
          <w:p w14:paraId="0A5A4BE2" w14:textId="6CA5177B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-3,6 %</w:t>
            </w:r>
          </w:p>
        </w:tc>
        <w:tc>
          <w:tcPr>
            <w:tcW w:w="1984" w:type="dxa"/>
            <w:vAlign w:val="bottom"/>
          </w:tcPr>
          <w:p w14:paraId="451DC9E9" w14:textId="1974BC66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5.147 €</w:t>
            </w:r>
          </w:p>
        </w:tc>
      </w:tr>
      <w:tr w:rsidR="0032673D" w:rsidRPr="008F0AF1" w14:paraId="27E1D907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92BC4CF" w14:textId="7C313594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268" w:type="dxa"/>
            <w:vAlign w:val="bottom"/>
          </w:tcPr>
          <w:p w14:paraId="2F2A0C72" w14:textId="754C0074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6" w:type="dxa"/>
            <w:vAlign w:val="bottom"/>
          </w:tcPr>
          <w:p w14:paraId="7B2C43AF" w14:textId="2CF9B4AE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984" w:type="dxa"/>
            <w:vAlign w:val="bottom"/>
          </w:tcPr>
          <w:p w14:paraId="6C2D7B58" w14:textId="0E8E53E5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5.467 €</w:t>
            </w:r>
          </w:p>
        </w:tc>
      </w:tr>
      <w:tr w:rsidR="0032673D" w:rsidRPr="008F0AF1" w14:paraId="5B2629B9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E4FB757" w14:textId="0DCA7B8B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268" w:type="dxa"/>
            <w:vAlign w:val="bottom"/>
          </w:tcPr>
          <w:p w14:paraId="73393741" w14:textId="3222D620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7509B0B8" w14:textId="4B781645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1984" w:type="dxa"/>
            <w:vAlign w:val="bottom"/>
          </w:tcPr>
          <w:p w14:paraId="0FCD89A5" w14:textId="665FD3B1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4.190 €</w:t>
            </w:r>
          </w:p>
        </w:tc>
      </w:tr>
      <w:tr w:rsidR="0032673D" w:rsidRPr="008F0AF1" w14:paraId="6E22E4EA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21B938B" w14:textId="0464F4F4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268" w:type="dxa"/>
            <w:vAlign w:val="bottom"/>
          </w:tcPr>
          <w:p w14:paraId="56F82691" w14:textId="39F52CEA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08EC782C" w14:textId="707D96CB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-4,8 %</w:t>
            </w:r>
          </w:p>
        </w:tc>
        <w:tc>
          <w:tcPr>
            <w:tcW w:w="1984" w:type="dxa"/>
            <w:vAlign w:val="bottom"/>
          </w:tcPr>
          <w:p w14:paraId="72CAEE3F" w14:textId="62582B90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3.738 €</w:t>
            </w:r>
          </w:p>
        </w:tc>
      </w:tr>
      <w:tr w:rsidR="0032673D" w:rsidRPr="008F0AF1" w14:paraId="3B00F3B2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BB4D2ED" w14:textId="551765D1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268" w:type="dxa"/>
            <w:vAlign w:val="bottom"/>
          </w:tcPr>
          <w:p w14:paraId="730CB9EB" w14:textId="5DE77B68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126" w:type="dxa"/>
            <w:vAlign w:val="bottom"/>
          </w:tcPr>
          <w:p w14:paraId="4A4554D2" w14:textId="12FD25E0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1984" w:type="dxa"/>
            <w:vAlign w:val="bottom"/>
          </w:tcPr>
          <w:p w14:paraId="60D3DE38" w14:textId="76C1C442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3.370 €</w:t>
            </w:r>
          </w:p>
        </w:tc>
      </w:tr>
      <w:tr w:rsidR="0032673D" w:rsidRPr="008F0AF1" w14:paraId="3663D227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91B5FA" w14:textId="7AE5A195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268" w:type="dxa"/>
            <w:vAlign w:val="bottom"/>
          </w:tcPr>
          <w:p w14:paraId="26FF0825" w14:textId="4346856D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126" w:type="dxa"/>
            <w:vAlign w:val="bottom"/>
          </w:tcPr>
          <w:p w14:paraId="20E8427E" w14:textId="65724F2E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984" w:type="dxa"/>
            <w:vAlign w:val="bottom"/>
          </w:tcPr>
          <w:p w14:paraId="094BA774" w14:textId="61106313" w:rsidR="0032673D" w:rsidRPr="008F0AF1" w:rsidRDefault="0032673D" w:rsidP="00326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4.783 €</w:t>
            </w:r>
          </w:p>
        </w:tc>
      </w:tr>
      <w:tr w:rsidR="0032673D" w:rsidRPr="008F0AF1" w14:paraId="30067764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81E0CF" w14:textId="5C6CA628" w:rsidR="0032673D" w:rsidRPr="0032673D" w:rsidRDefault="0032673D" w:rsidP="0032673D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2673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268" w:type="dxa"/>
            <w:vAlign w:val="bottom"/>
          </w:tcPr>
          <w:p w14:paraId="479A3958" w14:textId="5D35CD24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2126" w:type="dxa"/>
            <w:vAlign w:val="bottom"/>
          </w:tcPr>
          <w:p w14:paraId="0296BE23" w14:textId="02FCE8A1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1984" w:type="dxa"/>
            <w:vAlign w:val="bottom"/>
          </w:tcPr>
          <w:p w14:paraId="6C08FE08" w14:textId="745CB73C" w:rsidR="0032673D" w:rsidRPr="008F0AF1" w:rsidRDefault="0032673D" w:rsidP="00326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5.730 €</w:t>
            </w:r>
          </w:p>
        </w:tc>
      </w:tr>
    </w:tbl>
    <w:p w14:paraId="7F447468" w14:textId="77777777" w:rsidR="00C17526" w:rsidRDefault="00C17526" w:rsidP="00803A0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856C061" w14:textId="77777777" w:rsidR="00D9179A" w:rsidRDefault="00D9179A" w:rsidP="00D9179A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  <w:bookmarkStart w:id="1" w:name="_Hlk54554145"/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631F4997" w14:textId="77777777" w:rsidR="00D9179A" w:rsidRPr="005D22C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25 millones de visitas (75% a través de dispositivos móviles) y 650 millones de páginas vistas y cada día la visitan un promedio de 500.000 usuarios únicos.</w:t>
      </w:r>
    </w:p>
    <w:p w14:paraId="42570577" w14:textId="77777777" w:rsidR="00D9179A" w:rsidRPr="005D22C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Mensualmente elabora el </w:t>
      </w:r>
      <w:hyperlink r:id="rId15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2" w:name="_heading=h.gjdgxs" w:colFirst="0" w:colLast="0"/>
    <w:bookmarkEnd w:id="2"/>
    <w:p w14:paraId="1F797761" w14:textId="77777777" w:rsidR="00D9179A" w:rsidRPr="005D22C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Calibri" w:eastAsia="Calibri" w:hAnsi="Calibri" w:cs="Calibri"/>
          <w:sz w:val="22"/>
          <w:szCs w:val="22"/>
        </w:rPr>
        <w:fldChar w:fldCharType="begin"/>
      </w:r>
      <w:r w:rsidRPr="005D22CA">
        <w:rPr>
          <w:sz w:val="22"/>
          <w:szCs w:val="22"/>
        </w:rPr>
        <w:instrText xml:space="preserve"> HYPERLINK "http://www.fotocasa.es/" \h </w:instrText>
      </w:r>
      <w:r w:rsidRPr="005D22CA">
        <w:rPr>
          <w:rFonts w:ascii="Calibri" w:eastAsia="Calibri" w:hAnsi="Calibri" w:cs="Calibri"/>
          <w:sz w:val="22"/>
          <w:szCs w:val="22"/>
        </w:rPr>
        <w:fldChar w:fldCharType="separate"/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11E59337" w14:textId="77777777" w:rsidR="00D9179A" w:rsidRPr="005D22C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6" w:history="1">
        <w:r w:rsidRPr="005D22CA">
          <w:rPr>
            <w:rStyle w:val="Hipervnculo"/>
            <w:rFonts w:ascii="Open Sans" w:eastAsia="Open Sans" w:hAnsi="Open Sans" w:cs="Open Sans"/>
            <w:sz w:val="22"/>
            <w:szCs w:val="22"/>
          </w:rPr>
          <w:t>Más información sobre 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2F4D69B1" w14:textId="77777777" w:rsidR="00D9179A" w:rsidRPr="005D22C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7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8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9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20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47DC746E" w14:textId="77777777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6F6B8496" w14:textId="77777777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21" w:history="1">
        <w:r w:rsidRPr="002B2258">
          <w:rPr>
            <w:rStyle w:val="Hipervnculo"/>
            <w:rFonts w:ascii="Open Sans" w:eastAsia="Open Sans" w:hAnsi="Open Sans" w:cs="Open Sans"/>
            <w:sz w:val="21"/>
            <w:szCs w:val="21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0ACA6C86" w14:textId="77777777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B2183D" w14:textId="77777777" w:rsidR="00D9179A" w:rsidRDefault="00D9179A" w:rsidP="00D9179A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5558A18B" w14:textId="77777777" w:rsidR="00D9179A" w:rsidRDefault="00D9179A" w:rsidP="00D9179A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Llorente y Cuenca   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  <w:t xml:space="preserve">    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 Departamento Comunicación Fotocasa</w:t>
      </w:r>
    </w:p>
    <w:p w14:paraId="443A32FA" w14:textId="2990B24D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b/>
          <w:color w:val="000000"/>
          <w:sz w:val="21"/>
          <w:szCs w:val="21"/>
        </w:rPr>
        <w:t>Ramon Torné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  <w:t xml:space="preserve">                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           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    Anaïs López </w:t>
      </w:r>
    </w:p>
    <w:p w14:paraId="07C286BA" w14:textId="54B46243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hyperlink r:id="rId22" w:history="1">
        <w:r w:rsidRPr="00CE2942">
          <w:rPr>
            <w:rStyle w:val="Hipervnculo"/>
            <w:rFonts w:ascii="Open Sans" w:eastAsia="Open Sans" w:hAnsi="Open Sans" w:cs="Open Sans"/>
            <w:sz w:val="21"/>
            <w:szCs w:val="21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  <w:t xml:space="preserve">                             </w:t>
      </w:r>
      <w:r>
        <w:rPr>
          <w:rFonts w:ascii="Open Sans" w:eastAsia="Open Sans" w:hAnsi="Open Sans" w:cs="Open Sans"/>
          <w:color w:val="0000FF"/>
          <w:sz w:val="21"/>
          <w:szCs w:val="21"/>
        </w:rPr>
        <w:t xml:space="preserve">              </w:t>
      </w:r>
      <w:r>
        <w:rPr>
          <w:rFonts w:ascii="Open Sans" w:eastAsia="Open Sans" w:hAnsi="Open Sans" w:cs="Open Sans"/>
          <w:color w:val="0000FF"/>
          <w:sz w:val="21"/>
          <w:szCs w:val="21"/>
        </w:rPr>
        <w:t xml:space="preserve">    </w:t>
      </w:r>
      <w:hyperlink r:id="rId23" w:history="1">
        <w:r w:rsidRPr="00CE2942">
          <w:rPr>
            <w:rStyle w:val="Hipervnculo"/>
            <w:rFonts w:ascii="Open Sans" w:eastAsia="Open Sans" w:hAnsi="Open Sans" w:cs="Open Sans"/>
            <w:sz w:val="21"/>
            <w:szCs w:val="21"/>
          </w:rPr>
          <w:t>comunicacion@fotocasa.es</w:t>
        </w:r>
      </w:hyperlink>
    </w:p>
    <w:p w14:paraId="4CB7423F" w14:textId="2417DDCF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638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68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19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85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 </w:t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</w:t>
      </w:r>
      <w:bookmarkStart w:id="3" w:name="_GoBack"/>
      <w:bookmarkEnd w:id="3"/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 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        620 66 29 26</w:t>
      </w:r>
    </w:p>
    <w:p w14:paraId="2D7538F7" w14:textId="77777777" w:rsidR="00D9179A" w:rsidRDefault="00D9179A" w:rsidP="00D9179A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          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</w:t>
      </w:r>
    </w:p>
    <w:p w14:paraId="0517198D" w14:textId="77777777" w:rsidR="00D9179A" w:rsidRPr="002B2258" w:rsidRDefault="00D9179A" w:rsidP="00D9179A">
      <w:pPr>
        <w:shd w:val="clear" w:color="auto" w:fill="FFFFFF"/>
        <w:rPr>
          <w:rFonts w:ascii="Open Sans" w:eastAsia="Open Sans" w:hAnsi="Open Sans" w:cs="Open Sans"/>
          <w:b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b/>
          <w:color w:val="000000"/>
          <w:sz w:val="21"/>
          <w:szCs w:val="21"/>
        </w:rPr>
        <w:t>Fanny Merino</w:t>
      </w:r>
    </w:p>
    <w:p w14:paraId="623BE414" w14:textId="77777777" w:rsidR="00D9179A" w:rsidRPr="002B2258" w:rsidRDefault="00D9179A" w:rsidP="00D9179A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</w:rPr>
      </w:pPr>
      <w:hyperlink r:id="rId24" w:tgtFrame="_blank" w:history="1">
        <w:r w:rsidRPr="002B2258">
          <w:rPr>
            <w:rFonts w:ascii="Open Sans" w:eastAsia="Open Sans" w:hAnsi="Open Sans" w:cs="Open Sans"/>
            <w:color w:val="0000FF"/>
            <w:sz w:val="21"/>
            <w:szCs w:val="21"/>
          </w:rPr>
          <w:t>emerino@llorenteycuenca.com</w:t>
        </w:r>
      </w:hyperlink>
    </w:p>
    <w:p w14:paraId="2EA9B366" w14:textId="77777777" w:rsidR="00D9179A" w:rsidRPr="002B2258" w:rsidRDefault="00D9179A" w:rsidP="00D9179A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663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35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69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 w:rsidRPr="002B2258">
        <w:rPr>
          <w:rFonts w:ascii="Open Sans" w:eastAsia="Open Sans" w:hAnsi="Open Sans" w:cs="Open Sans"/>
          <w:color w:val="000000"/>
          <w:sz w:val="21"/>
          <w:szCs w:val="21"/>
        </w:rPr>
        <w:t>75 </w:t>
      </w:r>
    </w:p>
    <w:p w14:paraId="3F542B9E" w14:textId="77777777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00"/>
          <w:sz w:val="21"/>
          <w:szCs w:val="21"/>
        </w:rPr>
      </w:pPr>
    </w:p>
    <w:bookmarkEnd w:id="1"/>
    <w:p w14:paraId="1B1A24E4" w14:textId="77777777" w:rsidR="00D9179A" w:rsidRDefault="00D9179A" w:rsidP="00D91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24058EDB" w14:textId="68466DDC" w:rsidR="00B41A97" w:rsidRPr="00010ECE" w:rsidRDefault="00B41A97" w:rsidP="002C7B33">
      <w:pPr>
        <w:spacing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2C7B33">
      <w:footerReference w:type="default" r:id="rId25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48B2" w14:textId="77777777" w:rsidR="007F68AF" w:rsidRDefault="007F68AF" w:rsidP="00DD4CA4">
      <w:r>
        <w:separator/>
      </w:r>
    </w:p>
  </w:endnote>
  <w:endnote w:type="continuationSeparator" w:id="0">
    <w:p w14:paraId="7461A205" w14:textId="77777777" w:rsidR="007F68AF" w:rsidRDefault="007F68AF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alibri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297D" w14:textId="77777777" w:rsidR="00764C8B" w:rsidRDefault="00764C8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0FA7" w14:textId="77777777" w:rsidR="007F68AF" w:rsidRDefault="007F68AF" w:rsidP="00DD4CA4">
      <w:r>
        <w:separator/>
      </w:r>
    </w:p>
  </w:footnote>
  <w:footnote w:type="continuationSeparator" w:id="0">
    <w:p w14:paraId="4F384C87" w14:textId="77777777" w:rsidR="007F68AF" w:rsidRDefault="007F68AF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10ECE"/>
    <w:rsid w:val="00021197"/>
    <w:rsid w:val="00022E57"/>
    <w:rsid w:val="000378B8"/>
    <w:rsid w:val="00043E63"/>
    <w:rsid w:val="0005182B"/>
    <w:rsid w:val="00056D6F"/>
    <w:rsid w:val="00066953"/>
    <w:rsid w:val="00073C61"/>
    <w:rsid w:val="00074344"/>
    <w:rsid w:val="000745D4"/>
    <w:rsid w:val="00075EA4"/>
    <w:rsid w:val="00076CD0"/>
    <w:rsid w:val="00082A08"/>
    <w:rsid w:val="00086538"/>
    <w:rsid w:val="000A4003"/>
    <w:rsid w:val="000B1A78"/>
    <w:rsid w:val="000B63D3"/>
    <w:rsid w:val="000C0C90"/>
    <w:rsid w:val="000D128D"/>
    <w:rsid w:val="000D3756"/>
    <w:rsid w:val="000E203B"/>
    <w:rsid w:val="000E3988"/>
    <w:rsid w:val="000E6D86"/>
    <w:rsid w:val="000F397F"/>
    <w:rsid w:val="000F48F6"/>
    <w:rsid w:val="000F6589"/>
    <w:rsid w:val="00113DA0"/>
    <w:rsid w:val="00122596"/>
    <w:rsid w:val="00125645"/>
    <w:rsid w:val="00127E3F"/>
    <w:rsid w:val="00131611"/>
    <w:rsid w:val="00132773"/>
    <w:rsid w:val="00136E6D"/>
    <w:rsid w:val="00144783"/>
    <w:rsid w:val="001454FC"/>
    <w:rsid w:val="00152E73"/>
    <w:rsid w:val="00152FC9"/>
    <w:rsid w:val="0015579D"/>
    <w:rsid w:val="00156927"/>
    <w:rsid w:val="00161FF5"/>
    <w:rsid w:val="00170E94"/>
    <w:rsid w:val="0017362B"/>
    <w:rsid w:val="00177F34"/>
    <w:rsid w:val="00185B69"/>
    <w:rsid w:val="0018778E"/>
    <w:rsid w:val="00193D3E"/>
    <w:rsid w:val="00197D6A"/>
    <w:rsid w:val="001A03EC"/>
    <w:rsid w:val="001A160B"/>
    <w:rsid w:val="001B0D22"/>
    <w:rsid w:val="001B32B7"/>
    <w:rsid w:val="001E66E5"/>
    <w:rsid w:val="001F1881"/>
    <w:rsid w:val="00204DBA"/>
    <w:rsid w:val="00206D80"/>
    <w:rsid w:val="0021761E"/>
    <w:rsid w:val="00230094"/>
    <w:rsid w:val="00233A7F"/>
    <w:rsid w:val="00244226"/>
    <w:rsid w:val="00247090"/>
    <w:rsid w:val="0025153F"/>
    <w:rsid w:val="00254715"/>
    <w:rsid w:val="00254E1C"/>
    <w:rsid w:val="00263488"/>
    <w:rsid w:val="002646E8"/>
    <w:rsid w:val="00267C55"/>
    <w:rsid w:val="00276F57"/>
    <w:rsid w:val="00277F15"/>
    <w:rsid w:val="0028521F"/>
    <w:rsid w:val="0029117E"/>
    <w:rsid w:val="002921A8"/>
    <w:rsid w:val="002944AD"/>
    <w:rsid w:val="00294EA8"/>
    <w:rsid w:val="00295B61"/>
    <w:rsid w:val="002A1E8E"/>
    <w:rsid w:val="002A35C0"/>
    <w:rsid w:val="002A63B8"/>
    <w:rsid w:val="002A7B30"/>
    <w:rsid w:val="002B03DF"/>
    <w:rsid w:val="002B1D60"/>
    <w:rsid w:val="002B6931"/>
    <w:rsid w:val="002C7B33"/>
    <w:rsid w:val="002D0F7F"/>
    <w:rsid w:val="002D6A52"/>
    <w:rsid w:val="002E7ADE"/>
    <w:rsid w:val="002F0DBD"/>
    <w:rsid w:val="002F6709"/>
    <w:rsid w:val="002F7BBC"/>
    <w:rsid w:val="0031003E"/>
    <w:rsid w:val="00323525"/>
    <w:rsid w:val="003236DA"/>
    <w:rsid w:val="00325EA8"/>
    <w:rsid w:val="0032673D"/>
    <w:rsid w:val="003424A0"/>
    <w:rsid w:val="0034704A"/>
    <w:rsid w:val="00351878"/>
    <w:rsid w:val="0035740F"/>
    <w:rsid w:val="00361CE2"/>
    <w:rsid w:val="00364DE8"/>
    <w:rsid w:val="0036506F"/>
    <w:rsid w:val="00374AF8"/>
    <w:rsid w:val="00375A22"/>
    <w:rsid w:val="003826FE"/>
    <w:rsid w:val="0038694E"/>
    <w:rsid w:val="0039068F"/>
    <w:rsid w:val="0039111F"/>
    <w:rsid w:val="003B0212"/>
    <w:rsid w:val="003B2267"/>
    <w:rsid w:val="003B3FA0"/>
    <w:rsid w:val="003B7640"/>
    <w:rsid w:val="003C0439"/>
    <w:rsid w:val="003C2D34"/>
    <w:rsid w:val="003D2ED9"/>
    <w:rsid w:val="003D5C3A"/>
    <w:rsid w:val="003E37AB"/>
    <w:rsid w:val="003E7265"/>
    <w:rsid w:val="003F2944"/>
    <w:rsid w:val="003F3FE5"/>
    <w:rsid w:val="003F4BF8"/>
    <w:rsid w:val="00416774"/>
    <w:rsid w:val="00432B73"/>
    <w:rsid w:val="004335E1"/>
    <w:rsid w:val="00444A27"/>
    <w:rsid w:val="00444F8F"/>
    <w:rsid w:val="004516E7"/>
    <w:rsid w:val="00451D8D"/>
    <w:rsid w:val="004577E7"/>
    <w:rsid w:val="00464F4A"/>
    <w:rsid w:val="00467BFA"/>
    <w:rsid w:val="00470565"/>
    <w:rsid w:val="0047103A"/>
    <w:rsid w:val="00472BD0"/>
    <w:rsid w:val="004775A7"/>
    <w:rsid w:val="00477BF4"/>
    <w:rsid w:val="00487E10"/>
    <w:rsid w:val="004909C1"/>
    <w:rsid w:val="004A18E0"/>
    <w:rsid w:val="004A7FAC"/>
    <w:rsid w:val="004B0DEC"/>
    <w:rsid w:val="004B5A24"/>
    <w:rsid w:val="004B72A4"/>
    <w:rsid w:val="004C305C"/>
    <w:rsid w:val="004C6E70"/>
    <w:rsid w:val="004D2A3E"/>
    <w:rsid w:val="004D3337"/>
    <w:rsid w:val="004D3A34"/>
    <w:rsid w:val="004D6C33"/>
    <w:rsid w:val="004D758E"/>
    <w:rsid w:val="004E1425"/>
    <w:rsid w:val="004E2C01"/>
    <w:rsid w:val="004F310E"/>
    <w:rsid w:val="00500B17"/>
    <w:rsid w:val="00501D6B"/>
    <w:rsid w:val="005029E9"/>
    <w:rsid w:val="00503F5B"/>
    <w:rsid w:val="00517B6A"/>
    <w:rsid w:val="0052213C"/>
    <w:rsid w:val="00522CA0"/>
    <w:rsid w:val="00533E9C"/>
    <w:rsid w:val="00536CAA"/>
    <w:rsid w:val="00540CD7"/>
    <w:rsid w:val="005449FF"/>
    <w:rsid w:val="00554182"/>
    <w:rsid w:val="00555343"/>
    <w:rsid w:val="00556C26"/>
    <w:rsid w:val="005664F6"/>
    <w:rsid w:val="005739B8"/>
    <w:rsid w:val="00584027"/>
    <w:rsid w:val="0059074E"/>
    <w:rsid w:val="005910BD"/>
    <w:rsid w:val="005A4CB5"/>
    <w:rsid w:val="005A6BDE"/>
    <w:rsid w:val="005B1610"/>
    <w:rsid w:val="005B4E2C"/>
    <w:rsid w:val="005D142F"/>
    <w:rsid w:val="005D62B0"/>
    <w:rsid w:val="005E723D"/>
    <w:rsid w:val="005F5713"/>
    <w:rsid w:val="005F7BFC"/>
    <w:rsid w:val="0060222B"/>
    <w:rsid w:val="00602ADF"/>
    <w:rsid w:val="006067A7"/>
    <w:rsid w:val="00610AC0"/>
    <w:rsid w:val="006353E7"/>
    <w:rsid w:val="0063578D"/>
    <w:rsid w:val="006443B7"/>
    <w:rsid w:val="00651A15"/>
    <w:rsid w:val="0065523A"/>
    <w:rsid w:val="006569A2"/>
    <w:rsid w:val="00664526"/>
    <w:rsid w:val="00670C1B"/>
    <w:rsid w:val="006722A1"/>
    <w:rsid w:val="006829D1"/>
    <w:rsid w:val="00684AD7"/>
    <w:rsid w:val="00686035"/>
    <w:rsid w:val="00693BA0"/>
    <w:rsid w:val="00694341"/>
    <w:rsid w:val="006A173E"/>
    <w:rsid w:val="006B5C7A"/>
    <w:rsid w:val="006B5D54"/>
    <w:rsid w:val="006C66FE"/>
    <w:rsid w:val="006D4516"/>
    <w:rsid w:val="006E2DF5"/>
    <w:rsid w:val="006E71F0"/>
    <w:rsid w:val="00700CDC"/>
    <w:rsid w:val="007027AA"/>
    <w:rsid w:val="0071448E"/>
    <w:rsid w:val="00716166"/>
    <w:rsid w:val="00734DF2"/>
    <w:rsid w:val="00746945"/>
    <w:rsid w:val="00753088"/>
    <w:rsid w:val="007540B5"/>
    <w:rsid w:val="00755FA8"/>
    <w:rsid w:val="00764C8B"/>
    <w:rsid w:val="0076708E"/>
    <w:rsid w:val="00776F95"/>
    <w:rsid w:val="00780E2D"/>
    <w:rsid w:val="00786C19"/>
    <w:rsid w:val="00793775"/>
    <w:rsid w:val="0079401C"/>
    <w:rsid w:val="007941AF"/>
    <w:rsid w:val="00795038"/>
    <w:rsid w:val="007A361B"/>
    <w:rsid w:val="007A55E0"/>
    <w:rsid w:val="007B337C"/>
    <w:rsid w:val="007B5EFA"/>
    <w:rsid w:val="007C1EC1"/>
    <w:rsid w:val="007C2087"/>
    <w:rsid w:val="007C4E1A"/>
    <w:rsid w:val="007C7B05"/>
    <w:rsid w:val="007D4055"/>
    <w:rsid w:val="007D68B0"/>
    <w:rsid w:val="007D6B10"/>
    <w:rsid w:val="007F464E"/>
    <w:rsid w:val="007F68AF"/>
    <w:rsid w:val="007F7CD5"/>
    <w:rsid w:val="008006B9"/>
    <w:rsid w:val="00800E82"/>
    <w:rsid w:val="00803A0C"/>
    <w:rsid w:val="00803EE5"/>
    <w:rsid w:val="00815219"/>
    <w:rsid w:val="00820A62"/>
    <w:rsid w:val="00833FBC"/>
    <w:rsid w:val="00834656"/>
    <w:rsid w:val="008416BD"/>
    <w:rsid w:val="008431EF"/>
    <w:rsid w:val="00843E56"/>
    <w:rsid w:val="008474A4"/>
    <w:rsid w:val="00847524"/>
    <w:rsid w:val="00850789"/>
    <w:rsid w:val="00852B13"/>
    <w:rsid w:val="00860277"/>
    <w:rsid w:val="00860FEA"/>
    <w:rsid w:val="00863B39"/>
    <w:rsid w:val="008665A4"/>
    <w:rsid w:val="008732A0"/>
    <w:rsid w:val="008736A1"/>
    <w:rsid w:val="00882152"/>
    <w:rsid w:val="00882F87"/>
    <w:rsid w:val="00884AE2"/>
    <w:rsid w:val="00885132"/>
    <w:rsid w:val="008901C1"/>
    <w:rsid w:val="00890808"/>
    <w:rsid w:val="008A0A2B"/>
    <w:rsid w:val="008B49D6"/>
    <w:rsid w:val="008B5B83"/>
    <w:rsid w:val="008C19C8"/>
    <w:rsid w:val="008C3A0B"/>
    <w:rsid w:val="008C5991"/>
    <w:rsid w:val="008D193E"/>
    <w:rsid w:val="008D2BF4"/>
    <w:rsid w:val="008E3D8E"/>
    <w:rsid w:val="008F0AF1"/>
    <w:rsid w:val="008F2703"/>
    <w:rsid w:val="008F29C4"/>
    <w:rsid w:val="009002FC"/>
    <w:rsid w:val="00911453"/>
    <w:rsid w:val="009131FF"/>
    <w:rsid w:val="00913218"/>
    <w:rsid w:val="0093735E"/>
    <w:rsid w:val="00940A3F"/>
    <w:rsid w:val="009414D3"/>
    <w:rsid w:val="009454FF"/>
    <w:rsid w:val="00952FF6"/>
    <w:rsid w:val="009566F1"/>
    <w:rsid w:val="009665CD"/>
    <w:rsid w:val="00967736"/>
    <w:rsid w:val="00972380"/>
    <w:rsid w:val="00981D31"/>
    <w:rsid w:val="00982455"/>
    <w:rsid w:val="00984A64"/>
    <w:rsid w:val="009A35E0"/>
    <w:rsid w:val="009A510E"/>
    <w:rsid w:val="009B1529"/>
    <w:rsid w:val="009B6594"/>
    <w:rsid w:val="009C081B"/>
    <w:rsid w:val="009C68DE"/>
    <w:rsid w:val="009E215D"/>
    <w:rsid w:val="009F6A15"/>
    <w:rsid w:val="00A03A74"/>
    <w:rsid w:val="00A045ED"/>
    <w:rsid w:val="00A07E2C"/>
    <w:rsid w:val="00A15E65"/>
    <w:rsid w:val="00A27861"/>
    <w:rsid w:val="00A322DC"/>
    <w:rsid w:val="00A32FA8"/>
    <w:rsid w:val="00A35AD6"/>
    <w:rsid w:val="00A8169A"/>
    <w:rsid w:val="00A81883"/>
    <w:rsid w:val="00A84CA7"/>
    <w:rsid w:val="00A97AEA"/>
    <w:rsid w:val="00AB5BEF"/>
    <w:rsid w:val="00AB5C6D"/>
    <w:rsid w:val="00AB682E"/>
    <w:rsid w:val="00AD0C78"/>
    <w:rsid w:val="00AD1466"/>
    <w:rsid w:val="00AD62DD"/>
    <w:rsid w:val="00AE2D49"/>
    <w:rsid w:val="00AE518D"/>
    <w:rsid w:val="00AF03F6"/>
    <w:rsid w:val="00AF3D52"/>
    <w:rsid w:val="00AF3DCC"/>
    <w:rsid w:val="00B10769"/>
    <w:rsid w:val="00B11324"/>
    <w:rsid w:val="00B17F64"/>
    <w:rsid w:val="00B23DF1"/>
    <w:rsid w:val="00B27581"/>
    <w:rsid w:val="00B36BFE"/>
    <w:rsid w:val="00B41A97"/>
    <w:rsid w:val="00B431BF"/>
    <w:rsid w:val="00B45108"/>
    <w:rsid w:val="00B63832"/>
    <w:rsid w:val="00B773C7"/>
    <w:rsid w:val="00B863DA"/>
    <w:rsid w:val="00B8672B"/>
    <w:rsid w:val="00B8731D"/>
    <w:rsid w:val="00BA4514"/>
    <w:rsid w:val="00BA525C"/>
    <w:rsid w:val="00BA59C0"/>
    <w:rsid w:val="00BB1E91"/>
    <w:rsid w:val="00BC1D19"/>
    <w:rsid w:val="00BC3A74"/>
    <w:rsid w:val="00BD05D7"/>
    <w:rsid w:val="00BE6F71"/>
    <w:rsid w:val="00BF2D38"/>
    <w:rsid w:val="00BF3E84"/>
    <w:rsid w:val="00BF58E4"/>
    <w:rsid w:val="00BF6735"/>
    <w:rsid w:val="00BF6CC0"/>
    <w:rsid w:val="00C01F16"/>
    <w:rsid w:val="00C17526"/>
    <w:rsid w:val="00C175F6"/>
    <w:rsid w:val="00C32523"/>
    <w:rsid w:val="00C4502E"/>
    <w:rsid w:val="00C54981"/>
    <w:rsid w:val="00C6302C"/>
    <w:rsid w:val="00C6705A"/>
    <w:rsid w:val="00C73CB5"/>
    <w:rsid w:val="00C774D9"/>
    <w:rsid w:val="00C818B8"/>
    <w:rsid w:val="00CB0C3C"/>
    <w:rsid w:val="00CB52C2"/>
    <w:rsid w:val="00CB5400"/>
    <w:rsid w:val="00CB5F8A"/>
    <w:rsid w:val="00CC17ED"/>
    <w:rsid w:val="00CC2E07"/>
    <w:rsid w:val="00CC302B"/>
    <w:rsid w:val="00CC440E"/>
    <w:rsid w:val="00CD72CB"/>
    <w:rsid w:val="00CE64B5"/>
    <w:rsid w:val="00CE67CC"/>
    <w:rsid w:val="00CF0A9F"/>
    <w:rsid w:val="00CF20AE"/>
    <w:rsid w:val="00D03EDB"/>
    <w:rsid w:val="00D04388"/>
    <w:rsid w:val="00D05064"/>
    <w:rsid w:val="00D07162"/>
    <w:rsid w:val="00D147F2"/>
    <w:rsid w:val="00D15EC8"/>
    <w:rsid w:val="00D177B7"/>
    <w:rsid w:val="00D249B7"/>
    <w:rsid w:val="00D31A57"/>
    <w:rsid w:val="00D3495E"/>
    <w:rsid w:val="00D375EB"/>
    <w:rsid w:val="00D41240"/>
    <w:rsid w:val="00D43BCD"/>
    <w:rsid w:val="00D4590A"/>
    <w:rsid w:val="00D463F3"/>
    <w:rsid w:val="00D57583"/>
    <w:rsid w:val="00D63321"/>
    <w:rsid w:val="00D70955"/>
    <w:rsid w:val="00D847AA"/>
    <w:rsid w:val="00D9179A"/>
    <w:rsid w:val="00D91C64"/>
    <w:rsid w:val="00DA1DFB"/>
    <w:rsid w:val="00DA5620"/>
    <w:rsid w:val="00DC024B"/>
    <w:rsid w:val="00DC7AC3"/>
    <w:rsid w:val="00DD133A"/>
    <w:rsid w:val="00DD4CA4"/>
    <w:rsid w:val="00DE0DCE"/>
    <w:rsid w:val="00DE1605"/>
    <w:rsid w:val="00DE663C"/>
    <w:rsid w:val="00DE703A"/>
    <w:rsid w:val="00DF1C50"/>
    <w:rsid w:val="00DF48B8"/>
    <w:rsid w:val="00DF7476"/>
    <w:rsid w:val="00E030C6"/>
    <w:rsid w:val="00E05149"/>
    <w:rsid w:val="00E064C2"/>
    <w:rsid w:val="00E11682"/>
    <w:rsid w:val="00E13EE3"/>
    <w:rsid w:val="00E148A2"/>
    <w:rsid w:val="00E157B6"/>
    <w:rsid w:val="00E16C2C"/>
    <w:rsid w:val="00E22D4A"/>
    <w:rsid w:val="00E27391"/>
    <w:rsid w:val="00E36BA5"/>
    <w:rsid w:val="00E40AF9"/>
    <w:rsid w:val="00E45828"/>
    <w:rsid w:val="00E4654D"/>
    <w:rsid w:val="00E50BA6"/>
    <w:rsid w:val="00E62DE7"/>
    <w:rsid w:val="00E80205"/>
    <w:rsid w:val="00E84E66"/>
    <w:rsid w:val="00E90069"/>
    <w:rsid w:val="00E9484B"/>
    <w:rsid w:val="00E9520C"/>
    <w:rsid w:val="00EA0F49"/>
    <w:rsid w:val="00EA6A99"/>
    <w:rsid w:val="00EA7682"/>
    <w:rsid w:val="00EC3634"/>
    <w:rsid w:val="00ED52E7"/>
    <w:rsid w:val="00ED6CFA"/>
    <w:rsid w:val="00EE4B59"/>
    <w:rsid w:val="00EE57DC"/>
    <w:rsid w:val="00EF6946"/>
    <w:rsid w:val="00F03EB1"/>
    <w:rsid w:val="00F05F05"/>
    <w:rsid w:val="00F23A6E"/>
    <w:rsid w:val="00F322E6"/>
    <w:rsid w:val="00F35E24"/>
    <w:rsid w:val="00F370DE"/>
    <w:rsid w:val="00F469EB"/>
    <w:rsid w:val="00F62446"/>
    <w:rsid w:val="00F63BCC"/>
    <w:rsid w:val="00F6692D"/>
    <w:rsid w:val="00F708B0"/>
    <w:rsid w:val="00F71755"/>
    <w:rsid w:val="00F76B5D"/>
    <w:rsid w:val="00F872D7"/>
    <w:rsid w:val="00F92401"/>
    <w:rsid w:val="00F9355C"/>
    <w:rsid w:val="00F936D0"/>
    <w:rsid w:val="00F93FE7"/>
    <w:rsid w:val="00F970B0"/>
    <w:rsid w:val="00FA654A"/>
    <w:rsid w:val="00FB063B"/>
    <w:rsid w:val="00FB5607"/>
    <w:rsid w:val="00FC4B6D"/>
    <w:rsid w:val="00FC4BCC"/>
    <w:rsid w:val="00FD5086"/>
    <w:rsid w:val="00FE2586"/>
    <w:rsid w:val="00FE2D1C"/>
    <w:rsid w:val="00FE40AF"/>
    <w:rsid w:val="00FE562F"/>
    <w:rsid w:val="00FE671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  <w:style w:type="character" w:styleId="Mencinsinresolver">
    <w:name w:val="Unresolved Mention"/>
    <w:basedOn w:val="Fuentedeprrafopredeter"/>
    <w:uiPriority w:val="99"/>
    <w:semiHidden/>
    <w:unhideWhenUsed/>
    <w:rsid w:val="00D9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ensa.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ensa.fotocasa.es/auge-de-la-compraventa-y-retroceso-del-alquiler-la-pandemia-equipara-los-que-buscan-alquilar-44-con-los-compradores-43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mailto:emerino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mailto:comunicacion@fotocasa.es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mailto:rtorne@llorenteycuenca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1-VENTA\01-NOTAS%20DE%20PRENSA\2020\11-NOVIEMBRE\PRENSA%20VENTA%20NOV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89913341540741254"/>
          <c:h val="0.688159763611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NOV</c:v>
                  </c:pt>
                  <c:pt idx="1">
                    <c:v>DIC</c:v>
                  </c:pt>
                  <c:pt idx="2">
                    <c:v>ENE</c:v>
                  </c:pt>
                  <c:pt idx="3">
                    <c:v>FEB</c:v>
                  </c:pt>
                  <c:pt idx="4">
                    <c:v>MAR</c:v>
                  </c:pt>
                  <c:pt idx="5">
                    <c:v>ABR</c:v>
                  </c:pt>
                  <c:pt idx="6">
                    <c:v>MAY</c:v>
                  </c:pt>
                  <c:pt idx="7">
                    <c:v>JUN</c:v>
                  </c:pt>
                  <c:pt idx="8">
                    <c:v>JUL</c:v>
                  </c:pt>
                  <c:pt idx="9">
                    <c:v>AGO</c:v>
                  </c:pt>
                  <c:pt idx="10">
                    <c:v>SEP</c:v>
                  </c:pt>
                  <c:pt idx="11">
                    <c:v>OCT</c:v>
                  </c:pt>
                  <c:pt idx="12">
                    <c:v>NOV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-1.4922113783258029</c:v>
                </c:pt>
                <c:pt idx="1">
                  <c:v>-0.97912452854482801</c:v>
                </c:pt>
                <c:pt idx="2">
                  <c:v>-0.2562768874007193</c:v>
                </c:pt>
                <c:pt idx="3">
                  <c:v>0.10809753765759211</c:v>
                </c:pt>
                <c:pt idx="4">
                  <c:v>7.203217168623155E-2</c:v>
                </c:pt>
                <c:pt idx="5">
                  <c:v>0.50820211091262557</c:v>
                </c:pt>
                <c:pt idx="6">
                  <c:v>1.3158036706552689</c:v>
                </c:pt>
                <c:pt idx="7">
                  <c:v>-0.23109568106666201</c:v>
                </c:pt>
                <c:pt idx="8">
                  <c:v>0.74933152582898899</c:v>
                </c:pt>
                <c:pt idx="9">
                  <c:v>-0.56099718706793533</c:v>
                </c:pt>
                <c:pt idx="10">
                  <c:v>-1.6860935901806928</c:v>
                </c:pt>
                <c:pt idx="11">
                  <c:v>0.75590499981035286</c:v>
                </c:pt>
                <c:pt idx="12">
                  <c:v>0.96159017327983598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C-4B84-8FA9-063B46C4CE04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0"/>
                  <c:y val="-2.558635394456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0C-4B84-8FA9-063B46C4CE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NOV</c:v>
                  </c:pt>
                  <c:pt idx="1">
                    <c:v>DIC</c:v>
                  </c:pt>
                  <c:pt idx="2">
                    <c:v>ENE</c:v>
                  </c:pt>
                  <c:pt idx="3">
                    <c:v>FEB</c:v>
                  </c:pt>
                  <c:pt idx="4">
                    <c:v>MAR</c:v>
                  </c:pt>
                  <c:pt idx="5">
                    <c:v>ABR</c:v>
                  </c:pt>
                  <c:pt idx="6">
                    <c:v>MAY</c:v>
                  </c:pt>
                  <c:pt idx="7">
                    <c:v>JUN</c:v>
                  </c:pt>
                  <c:pt idx="8">
                    <c:v>JUL</c:v>
                  </c:pt>
                  <c:pt idx="9">
                    <c:v>AGO</c:v>
                  </c:pt>
                  <c:pt idx="10">
                    <c:v>SEP</c:v>
                  </c:pt>
                  <c:pt idx="11">
                    <c:v>OCT</c:v>
                  </c:pt>
                  <c:pt idx="12">
                    <c:v>NOV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0.14404460708488109</c:v>
                </c:pt>
                <c:pt idx="1">
                  <c:v>-1.2614646874092861</c:v>
                </c:pt>
                <c:pt idx="2">
                  <c:v>-1.8605254430531404</c:v>
                </c:pt>
                <c:pt idx="3">
                  <c:v>-2.3134483540373618</c:v>
                </c:pt>
                <c:pt idx="4">
                  <c:v>-2.9460909838051164</c:v>
                </c:pt>
                <c:pt idx="5">
                  <c:v>-1.9880154463444377</c:v>
                </c:pt>
                <c:pt idx="6">
                  <c:v>-1.0605431441696123</c:v>
                </c:pt>
                <c:pt idx="7">
                  <c:v>-1.8914307125737828</c:v>
                </c:pt>
                <c:pt idx="8">
                  <c:v>-0.70173314193738845</c:v>
                </c:pt>
                <c:pt idx="9">
                  <c:v>-0.75121819166216186</c:v>
                </c:pt>
                <c:pt idx="10">
                  <c:v>-2.3876150058407042</c:v>
                </c:pt>
                <c:pt idx="11">
                  <c:v>-1.7295082279115137</c:v>
                </c:pt>
                <c:pt idx="12">
                  <c:v>0.71838232532686064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0C-4B84-8FA9-063B46C4CE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0.05507</cdr:x>
      <cdr:y>0.31291</cdr:y>
    </cdr:from>
    <cdr:to>
      <cdr:x>0.94344</cdr:x>
      <cdr:y>0.31291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97402" y="931907"/>
          <a:ext cx="4797233" cy="0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ADB9-402D-48E9-A948-BF9ABE32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10</Pages>
  <Words>2876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62</cp:revision>
  <dcterms:created xsi:type="dcterms:W3CDTF">2020-08-26T10:47:00Z</dcterms:created>
  <dcterms:modified xsi:type="dcterms:W3CDTF">2020-12-02T13:53:00Z</dcterms:modified>
</cp:coreProperties>
</file>