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613FC" w14:textId="77777777" w:rsidR="00A84CA7" w:rsidRDefault="00A84CA7" w:rsidP="00753088">
      <w:pPr>
        <w:ind w:right="-574"/>
      </w:pPr>
      <w:r>
        <w:rPr>
          <w:rFonts w:ascii="National" w:hAnsi="National"/>
          <w:noProof/>
          <w:color w:val="303AB2"/>
          <w:sz w:val="36"/>
          <w:szCs w:val="36"/>
          <w:lang w:val="es-ES" w:eastAsia="es-ES" w:bidi="ks-Deva"/>
        </w:rPr>
        <w:drawing>
          <wp:anchor distT="0" distB="0" distL="114300" distR="114300" simplePos="0" relativeHeight="251658240" behindDoc="0" locked="0" layoutInCell="1" allowOverlap="1" wp14:anchorId="4150BFFF" wp14:editId="51E2756C">
            <wp:simplePos x="0" y="0"/>
            <wp:positionH relativeFrom="column">
              <wp:posOffset>-1078865</wp:posOffset>
            </wp:positionH>
            <wp:positionV relativeFrom="paragraph">
              <wp:posOffset>-350453</wp:posOffset>
            </wp:positionV>
            <wp:extent cx="7581265" cy="101917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_Nd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265" cy="1019175"/>
                    </a:xfrm>
                    <a:prstGeom prst="rect">
                      <a:avLst/>
                    </a:prstGeom>
                  </pic:spPr>
                </pic:pic>
              </a:graphicData>
            </a:graphic>
            <wp14:sizeRelH relativeFrom="page">
              <wp14:pctWidth>0</wp14:pctWidth>
            </wp14:sizeRelH>
            <wp14:sizeRelV relativeFrom="page">
              <wp14:pctHeight>0</wp14:pctHeight>
            </wp14:sizeRelV>
          </wp:anchor>
        </w:drawing>
      </w:r>
    </w:p>
    <w:p w14:paraId="34F9A0DC" w14:textId="77777777" w:rsidR="002D1A36" w:rsidRDefault="002D1A36" w:rsidP="00753088">
      <w:pPr>
        <w:ind w:right="-574"/>
        <w:jc w:val="right"/>
        <w:rPr>
          <w:rFonts w:ascii="National" w:hAnsi="National"/>
          <w:color w:val="303AB2"/>
          <w:sz w:val="36"/>
          <w:szCs w:val="36"/>
        </w:rPr>
      </w:pPr>
    </w:p>
    <w:p w14:paraId="679CEA7E" w14:textId="77777777" w:rsidR="00A84CA7" w:rsidRDefault="00A84CA7" w:rsidP="00753088">
      <w:pPr>
        <w:ind w:right="-574"/>
        <w:jc w:val="right"/>
        <w:rPr>
          <w:rFonts w:ascii="National" w:hAnsi="National"/>
          <w:color w:val="303AB2"/>
          <w:sz w:val="36"/>
          <w:szCs w:val="36"/>
        </w:rPr>
      </w:pPr>
    </w:p>
    <w:p w14:paraId="09DCC40F" w14:textId="77777777" w:rsidR="00A84CA7" w:rsidRPr="0047737D" w:rsidRDefault="00A84CA7" w:rsidP="00753088">
      <w:pPr>
        <w:ind w:right="-574"/>
        <w:rPr>
          <w:rFonts w:ascii="National" w:hAnsi="National"/>
          <w:color w:val="303AB2"/>
          <w:sz w:val="20"/>
          <w:szCs w:val="14"/>
          <w:vertAlign w:val="superscript"/>
        </w:rPr>
      </w:pPr>
    </w:p>
    <w:p w14:paraId="20ECE8BE" w14:textId="666609CD" w:rsidR="00450B0D" w:rsidRDefault="00B03BCA" w:rsidP="00450B0D">
      <w:pPr>
        <w:spacing w:line="276" w:lineRule="auto"/>
        <w:ind w:right="-574"/>
        <w:jc w:val="center"/>
        <w:rPr>
          <w:rFonts w:ascii="National" w:hAnsi="National"/>
          <w:b/>
          <w:bCs/>
          <w:iCs/>
          <w:color w:val="1DBDC5"/>
          <w:sz w:val="42"/>
          <w:szCs w:val="52"/>
          <w:lang w:val="es-ES"/>
        </w:rPr>
      </w:pPr>
      <w:r>
        <w:rPr>
          <w:rFonts w:ascii="National" w:hAnsi="National"/>
          <w:b/>
          <w:bCs/>
          <w:iCs/>
          <w:color w:val="1DBDC5"/>
          <w:sz w:val="42"/>
          <w:szCs w:val="52"/>
          <w:lang w:val="es-ES"/>
        </w:rPr>
        <w:t>OCTUBRE</w:t>
      </w:r>
      <w:r w:rsidR="00450B0D">
        <w:rPr>
          <w:rFonts w:ascii="National" w:hAnsi="National"/>
          <w:b/>
          <w:bCs/>
          <w:iCs/>
          <w:color w:val="1DBDC5"/>
          <w:sz w:val="42"/>
          <w:szCs w:val="52"/>
          <w:lang w:val="es-ES"/>
        </w:rPr>
        <w:t>: PRECIO VIVIENDA EN ALQUILER</w:t>
      </w:r>
    </w:p>
    <w:p w14:paraId="141E501B" w14:textId="025D6E32" w:rsidR="001A1F5E" w:rsidRDefault="001A1F5E" w:rsidP="001A1F5E">
      <w:pPr>
        <w:jc w:val="center"/>
        <w:rPr>
          <w:rFonts w:ascii="National" w:hAnsi="National"/>
          <w:b/>
          <w:bCs/>
          <w:iCs/>
          <w:color w:val="303AB2"/>
          <w:sz w:val="50"/>
          <w:szCs w:val="144"/>
          <w:lang w:val="es-ES"/>
        </w:rPr>
      </w:pPr>
      <w:r w:rsidRPr="005B1610">
        <w:rPr>
          <w:rFonts w:ascii="National" w:hAnsi="National"/>
          <w:b/>
          <w:bCs/>
          <w:iCs/>
          <w:color w:val="303AB2"/>
          <w:sz w:val="50"/>
          <w:szCs w:val="144"/>
          <w:lang w:val="es-ES"/>
        </w:rPr>
        <w:t>El precio de la vivi</w:t>
      </w:r>
      <w:r w:rsidRPr="00AB5C6D">
        <w:rPr>
          <w:rFonts w:ascii="National" w:hAnsi="National"/>
          <w:b/>
          <w:bCs/>
          <w:iCs/>
          <w:color w:val="303AB2"/>
          <w:sz w:val="50"/>
          <w:szCs w:val="144"/>
          <w:lang w:val="es-ES"/>
        </w:rPr>
        <w:t>e</w:t>
      </w:r>
      <w:r w:rsidRPr="005B1610">
        <w:rPr>
          <w:rFonts w:ascii="National" w:hAnsi="National"/>
          <w:b/>
          <w:bCs/>
          <w:iCs/>
          <w:color w:val="303AB2"/>
          <w:sz w:val="50"/>
          <w:szCs w:val="144"/>
          <w:lang w:val="es-ES"/>
        </w:rPr>
        <w:t xml:space="preserve">nda </w:t>
      </w:r>
      <w:r>
        <w:rPr>
          <w:rFonts w:ascii="National" w:hAnsi="National"/>
          <w:b/>
          <w:bCs/>
          <w:iCs/>
          <w:color w:val="303AB2"/>
          <w:sz w:val="50"/>
          <w:szCs w:val="144"/>
          <w:lang w:val="es-ES"/>
        </w:rPr>
        <w:t>en alquiler</w:t>
      </w:r>
      <w:r w:rsidRPr="005B1610">
        <w:rPr>
          <w:rFonts w:ascii="National" w:hAnsi="National"/>
          <w:b/>
          <w:bCs/>
          <w:iCs/>
          <w:color w:val="303AB2"/>
          <w:sz w:val="50"/>
          <w:szCs w:val="144"/>
          <w:lang w:val="es-ES"/>
        </w:rPr>
        <w:t xml:space="preserve"> </w:t>
      </w:r>
      <w:r w:rsidR="00FF352D">
        <w:rPr>
          <w:rFonts w:ascii="National" w:hAnsi="National"/>
          <w:b/>
          <w:bCs/>
          <w:iCs/>
          <w:color w:val="303AB2"/>
          <w:sz w:val="50"/>
          <w:szCs w:val="144"/>
          <w:lang w:val="es-ES"/>
        </w:rPr>
        <w:t xml:space="preserve">sube un 0,1% </w:t>
      </w:r>
      <w:r w:rsidR="00A0753F">
        <w:rPr>
          <w:rFonts w:ascii="National" w:hAnsi="National"/>
          <w:b/>
          <w:bCs/>
          <w:iCs/>
          <w:color w:val="303AB2"/>
          <w:sz w:val="50"/>
          <w:szCs w:val="144"/>
          <w:lang w:val="es-ES"/>
        </w:rPr>
        <w:t xml:space="preserve">mensual </w:t>
      </w:r>
      <w:r w:rsidR="00FF352D">
        <w:rPr>
          <w:rFonts w:ascii="National" w:hAnsi="National"/>
          <w:b/>
          <w:bCs/>
          <w:iCs/>
          <w:color w:val="303AB2"/>
          <w:sz w:val="50"/>
          <w:szCs w:val="144"/>
          <w:lang w:val="es-ES"/>
        </w:rPr>
        <w:t>en</w:t>
      </w:r>
      <w:r w:rsidR="00130CF5">
        <w:rPr>
          <w:rFonts w:ascii="National" w:hAnsi="National"/>
          <w:b/>
          <w:bCs/>
          <w:iCs/>
          <w:color w:val="303AB2"/>
          <w:sz w:val="50"/>
          <w:szCs w:val="144"/>
          <w:lang w:val="es-ES"/>
        </w:rPr>
        <w:t xml:space="preserve"> </w:t>
      </w:r>
      <w:r>
        <w:rPr>
          <w:rFonts w:ascii="National" w:hAnsi="National"/>
          <w:b/>
          <w:bCs/>
          <w:iCs/>
          <w:color w:val="303AB2"/>
          <w:sz w:val="50"/>
          <w:szCs w:val="144"/>
          <w:lang w:val="es-ES"/>
        </w:rPr>
        <w:t xml:space="preserve">España </w:t>
      </w:r>
      <w:r w:rsidRPr="005B1610">
        <w:rPr>
          <w:rFonts w:ascii="National" w:hAnsi="National"/>
          <w:b/>
          <w:bCs/>
          <w:iCs/>
          <w:color w:val="303AB2"/>
          <w:sz w:val="50"/>
          <w:szCs w:val="144"/>
          <w:lang w:val="es-ES"/>
        </w:rPr>
        <w:t xml:space="preserve">en </w:t>
      </w:r>
      <w:r w:rsidR="00E016BE">
        <w:rPr>
          <w:rFonts w:ascii="National" w:hAnsi="National"/>
          <w:b/>
          <w:bCs/>
          <w:iCs/>
          <w:color w:val="303AB2"/>
          <w:sz w:val="50"/>
          <w:szCs w:val="144"/>
          <w:lang w:val="es-ES"/>
        </w:rPr>
        <w:t>octubre</w:t>
      </w:r>
    </w:p>
    <w:p w14:paraId="4D2D26AF" w14:textId="77777777" w:rsidR="00AD09F6" w:rsidRPr="0047737D" w:rsidRDefault="00AD09F6" w:rsidP="00E232BD">
      <w:pPr>
        <w:ind w:right="-574"/>
        <w:jc w:val="both"/>
        <w:rPr>
          <w:rFonts w:ascii="National" w:hAnsi="National"/>
          <w:b/>
          <w:bCs/>
          <w:iCs/>
          <w:color w:val="303AB2"/>
          <w:sz w:val="20"/>
          <w:szCs w:val="12"/>
          <w:lang w:val="es-ES"/>
        </w:rPr>
      </w:pPr>
    </w:p>
    <w:p w14:paraId="184DAF33" w14:textId="3EEDB727" w:rsidR="00450B0D" w:rsidRPr="0047737D" w:rsidRDefault="00450B0D" w:rsidP="008F3A0B">
      <w:pPr>
        <w:pStyle w:val="Prrafodelista"/>
        <w:numPr>
          <w:ilvl w:val="0"/>
          <w:numId w:val="7"/>
        </w:numPr>
        <w:spacing w:line="276" w:lineRule="auto"/>
        <w:ind w:right="-574"/>
        <w:jc w:val="both"/>
        <w:rPr>
          <w:rFonts w:ascii="Open Sans" w:eastAsia="Times New Roman" w:hAnsi="Open Sans" w:cs="Open Sans"/>
          <w:color w:val="303AB2"/>
          <w:szCs w:val="22"/>
          <w:lang w:val="es-ES" w:eastAsia="es-ES_tradnl"/>
        </w:rPr>
      </w:pPr>
      <w:r w:rsidRPr="0047737D">
        <w:rPr>
          <w:rFonts w:ascii="Open Sans" w:eastAsia="Times New Roman" w:hAnsi="Open Sans" w:cs="Open Sans"/>
          <w:color w:val="303AB2"/>
          <w:szCs w:val="22"/>
          <w:lang w:val="es-ES" w:eastAsia="es-ES_tradnl"/>
        </w:rPr>
        <w:t xml:space="preserve">El precio medio de la vivienda en alquiler se sitúa </w:t>
      </w:r>
      <w:r w:rsidR="002E72E6">
        <w:rPr>
          <w:rFonts w:ascii="Open Sans" w:eastAsia="Times New Roman" w:hAnsi="Open Sans" w:cs="Open Sans"/>
          <w:color w:val="303AB2"/>
          <w:szCs w:val="22"/>
          <w:lang w:val="es-ES" w:eastAsia="es-ES_tradnl"/>
        </w:rPr>
        <w:t xml:space="preserve">en </w:t>
      </w:r>
      <w:r w:rsidR="00607C0B">
        <w:rPr>
          <w:rFonts w:ascii="Open Sans" w:eastAsia="Times New Roman" w:hAnsi="Open Sans" w:cs="Open Sans"/>
          <w:color w:val="303AB2"/>
          <w:szCs w:val="22"/>
          <w:lang w:val="es-ES" w:eastAsia="es-ES_tradnl"/>
        </w:rPr>
        <w:t>1</w:t>
      </w:r>
      <w:r w:rsidR="00A33E7A">
        <w:rPr>
          <w:rFonts w:ascii="Open Sans" w:eastAsia="Times New Roman" w:hAnsi="Open Sans" w:cs="Open Sans"/>
          <w:color w:val="303AB2"/>
          <w:szCs w:val="22"/>
          <w:lang w:val="es-ES" w:eastAsia="es-ES_tradnl"/>
        </w:rPr>
        <w:t>0,</w:t>
      </w:r>
      <w:r w:rsidR="0002125B">
        <w:rPr>
          <w:rFonts w:ascii="Open Sans" w:eastAsia="Times New Roman" w:hAnsi="Open Sans" w:cs="Open Sans"/>
          <w:color w:val="303AB2"/>
          <w:szCs w:val="22"/>
          <w:lang w:val="es-ES" w:eastAsia="es-ES_tradnl"/>
        </w:rPr>
        <w:t>7</w:t>
      </w:r>
      <w:r w:rsidR="00383D67">
        <w:rPr>
          <w:rFonts w:ascii="Open Sans" w:eastAsia="Times New Roman" w:hAnsi="Open Sans" w:cs="Open Sans"/>
          <w:color w:val="303AB2"/>
          <w:szCs w:val="22"/>
          <w:lang w:val="es-ES" w:eastAsia="es-ES_tradnl"/>
        </w:rPr>
        <w:t>5</w:t>
      </w:r>
      <w:r w:rsidR="00A33E7A">
        <w:rPr>
          <w:rFonts w:ascii="Open Sans" w:eastAsia="Times New Roman" w:hAnsi="Open Sans" w:cs="Open Sans"/>
          <w:color w:val="303AB2"/>
          <w:szCs w:val="22"/>
          <w:lang w:val="es-ES" w:eastAsia="es-ES_tradnl"/>
        </w:rPr>
        <w:t xml:space="preserve"> </w:t>
      </w:r>
      <w:r w:rsidRPr="0047737D">
        <w:rPr>
          <w:rFonts w:ascii="Open Sans" w:eastAsia="Times New Roman" w:hAnsi="Open Sans" w:cs="Open Sans"/>
          <w:color w:val="303AB2"/>
          <w:szCs w:val="22"/>
          <w:lang w:val="es-ES" w:eastAsia="es-ES_tradnl"/>
        </w:rPr>
        <w:t>€/m</w:t>
      </w:r>
      <w:r w:rsidRPr="0047737D">
        <w:rPr>
          <w:rFonts w:ascii="Open Sans" w:eastAsia="Times New Roman" w:hAnsi="Open Sans" w:cs="Open Sans"/>
          <w:color w:val="303AB2"/>
          <w:szCs w:val="22"/>
          <w:vertAlign w:val="superscript"/>
          <w:lang w:val="es-ES" w:eastAsia="es-ES_tradnl"/>
        </w:rPr>
        <w:t>2</w:t>
      </w:r>
      <w:r w:rsidRPr="0047737D">
        <w:rPr>
          <w:rFonts w:ascii="Open Sans" w:eastAsia="Times New Roman" w:hAnsi="Open Sans" w:cs="Open Sans"/>
          <w:color w:val="303AB2"/>
          <w:szCs w:val="22"/>
          <w:lang w:val="es-ES" w:eastAsia="es-ES_tradnl"/>
        </w:rPr>
        <w:t xml:space="preserve"> </w:t>
      </w:r>
      <w:r w:rsidR="00010FB9" w:rsidRPr="0047737D">
        <w:rPr>
          <w:rFonts w:ascii="Open Sans" w:hAnsi="Open Sans" w:cs="Open Sans"/>
          <w:color w:val="303AB2"/>
        </w:rPr>
        <w:t>al mes</w:t>
      </w:r>
    </w:p>
    <w:p w14:paraId="55026D59" w14:textId="64AD9854" w:rsidR="000A772E" w:rsidRDefault="000A772E" w:rsidP="008F3A0B">
      <w:pPr>
        <w:pStyle w:val="Prrafodelista"/>
        <w:numPr>
          <w:ilvl w:val="0"/>
          <w:numId w:val="7"/>
        </w:numPr>
        <w:spacing w:line="276" w:lineRule="auto"/>
        <w:ind w:right="-574"/>
        <w:jc w:val="both"/>
        <w:rPr>
          <w:rFonts w:ascii="Open Sans" w:eastAsia="Times New Roman" w:hAnsi="Open Sans" w:cs="Open Sans"/>
          <w:color w:val="303AB2"/>
          <w:szCs w:val="22"/>
          <w:lang w:val="es-ES" w:eastAsia="es-ES_tradnl"/>
        </w:rPr>
      </w:pPr>
      <w:r>
        <w:rPr>
          <w:rFonts w:ascii="Open Sans" w:eastAsia="Times New Roman" w:hAnsi="Open Sans" w:cs="Open Sans"/>
          <w:color w:val="303AB2"/>
          <w:szCs w:val="22"/>
          <w:lang w:val="es-ES" w:eastAsia="es-ES_tradnl"/>
        </w:rPr>
        <w:t>Interanualmente el precio del alquiler aún sube con fuerza y lo hace un 9,6%</w:t>
      </w:r>
    </w:p>
    <w:p w14:paraId="7746FA23" w14:textId="7BAA72C8" w:rsidR="0067613D" w:rsidRPr="00E1499B" w:rsidRDefault="00607C0B" w:rsidP="008F3A0B">
      <w:pPr>
        <w:pStyle w:val="Prrafodelista"/>
        <w:numPr>
          <w:ilvl w:val="0"/>
          <w:numId w:val="7"/>
        </w:numPr>
        <w:spacing w:line="276" w:lineRule="auto"/>
        <w:ind w:right="-574"/>
        <w:jc w:val="both"/>
        <w:rPr>
          <w:rFonts w:ascii="Open Sans" w:eastAsia="Times New Roman" w:hAnsi="Open Sans" w:cs="Open Sans"/>
          <w:color w:val="303AB2"/>
          <w:szCs w:val="22"/>
          <w:lang w:val="es-ES" w:eastAsia="es-ES_tradnl"/>
        </w:rPr>
      </w:pPr>
      <w:r w:rsidRPr="00E1499B">
        <w:rPr>
          <w:rFonts w:ascii="Open Sans" w:eastAsia="Times New Roman" w:hAnsi="Open Sans" w:cs="Open Sans"/>
          <w:color w:val="303AB2"/>
          <w:szCs w:val="22"/>
          <w:lang w:val="es-ES" w:eastAsia="es-ES_tradnl"/>
        </w:rPr>
        <w:t xml:space="preserve">El alquiler </w:t>
      </w:r>
      <w:r w:rsidR="00A33E7A" w:rsidRPr="00E1499B">
        <w:rPr>
          <w:rFonts w:ascii="Open Sans" w:eastAsia="Times New Roman" w:hAnsi="Open Sans" w:cs="Open Sans"/>
          <w:color w:val="303AB2"/>
          <w:szCs w:val="22"/>
          <w:lang w:val="es-ES" w:eastAsia="es-ES_tradnl"/>
        </w:rPr>
        <w:t>baja</w:t>
      </w:r>
      <w:r w:rsidRPr="00E1499B">
        <w:rPr>
          <w:rFonts w:ascii="Open Sans" w:eastAsia="Times New Roman" w:hAnsi="Open Sans" w:cs="Open Sans"/>
          <w:color w:val="303AB2"/>
          <w:szCs w:val="22"/>
          <w:lang w:val="es-ES" w:eastAsia="es-ES_tradnl"/>
        </w:rPr>
        <w:t xml:space="preserve"> en </w:t>
      </w:r>
      <w:r w:rsidR="00A64479" w:rsidRPr="00E1499B">
        <w:rPr>
          <w:rFonts w:ascii="Open Sans" w:eastAsia="Times New Roman" w:hAnsi="Open Sans" w:cs="Open Sans"/>
          <w:color w:val="303AB2"/>
          <w:szCs w:val="22"/>
          <w:lang w:val="es-ES" w:eastAsia="es-ES_tradnl"/>
        </w:rPr>
        <w:t>diez</w:t>
      </w:r>
      <w:r w:rsidR="00A33E7A" w:rsidRPr="00E1499B">
        <w:rPr>
          <w:rFonts w:ascii="Open Sans" w:eastAsia="Times New Roman" w:hAnsi="Open Sans" w:cs="Open Sans"/>
          <w:color w:val="303AB2"/>
          <w:szCs w:val="22"/>
          <w:lang w:val="es-ES" w:eastAsia="es-ES_tradnl"/>
        </w:rPr>
        <w:t xml:space="preserve"> </w:t>
      </w:r>
      <w:r w:rsidRPr="00E1499B">
        <w:rPr>
          <w:rFonts w:ascii="Open Sans" w:eastAsia="Times New Roman" w:hAnsi="Open Sans" w:cs="Open Sans"/>
          <w:color w:val="303AB2"/>
          <w:szCs w:val="22"/>
          <w:lang w:val="es-ES" w:eastAsia="es-ES_tradnl"/>
        </w:rPr>
        <w:t>comunidades autónomas</w:t>
      </w:r>
      <w:r w:rsidR="00197A6D" w:rsidRPr="00E1499B">
        <w:rPr>
          <w:rFonts w:ascii="Open Sans" w:eastAsia="Times New Roman" w:hAnsi="Open Sans" w:cs="Open Sans"/>
          <w:color w:val="303AB2"/>
          <w:szCs w:val="22"/>
          <w:lang w:val="es-ES" w:eastAsia="es-ES_tradnl"/>
        </w:rPr>
        <w:t xml:space="preserve">, en el </w:t>
      </w:r>
      <w:r w:rsidR="00FF352D">
        <w:rPr>
          <w:rFonts w:ascii="Open Sans" w:eastAsia="Times New Roman" w:hAnsi="Open Sans" w:cs="Open Sans"/>
          <w:color w:val="303AB2"/>
          <w:szCs w:val="22"/>
          <w:lang w:val="es-ES" w:eastAsia="es-ES_tradnl"/>
        </w:rPr>
        <w:t>58</w:t>
      </w:r>
      <w:r w:rsidR="00197A6D" w:rsidRPr="00E1499B">
        <w:rPr>
          <w:rFonts w:ascii="Open Sans" w:eastAsia="Times New Roman" w:hAnsi="Open Sans" w:cs="Open Sans"/>
          <w:color w:val="303AB2"/>
          <w:szCs w:val="22"/>
          <w:lang w:val="es-ES" w:eastAsia="es-ES_tradnl"/>
        </w:rPr>
        <w:t xml:space="preserve">% </w:t>
      </w:r>
      <w:r w:rsidR="00E825C2" w:rsidRPr="00E1499B">
        <w:rPr>
          <w:rFonts w:ascii="Open Sans" w:eastAsia="Times New Roman" w:hAnsi="Open Sans" w:cs="Open Sans"/>
          <w:color w:val="303AB2"/>
          <w:szCs w:val="22"/>
          <w:lang w:val="es-ES" w:eastAsia="es-ES_tradnl"/>
        </w:rPr>
        <w:t>d</w:t>
      </w:r>
      <w:r w:rsidR="00197A6D" w:rsidRPr="00E1499B">
        <w:rPr>
          <w:rFonts w:ascii="Open Sans" w:eastAsia="Times New Roman" w:hAnsi="Open Sans" w:cs="Open Sans"/>
          <w:color w:val="303AB2"/>
          <w:szCs w:val="22"/>
          <w:lang w:val="es-ES" w:eastAsia="es-ES_tradnl"/>
        </w:rPr>
        <w:t xml:space="preserve">e las provincias y en el </w:t>
      </w:r>
      <w:r w:rsidR="00FF352D">
        <w:rPr>
          <w:rFonts w:ascii="Open Sans" w:eastAsia="Times New Roman" w:hAnsi="Open Sans" w:cs="Open Sans"/>
          <w:color w:val="303AB2"/>
          <w:szCs w:val="22"/>
          <w:lang w:val="es-ES" w:eastAsia="es-ES_tradnl"/>
        </w:rPr>
        <w:t>68</w:t>
      </w:r>
      <w:r w:rsidRPr="00E1499B">
        <w:rPr>
          <w:rFonts w:ascii="Open Sans" w:eastAsia="Times New Roman" w:hAnsi="Open Sans" w:cs="Open Sans"/>
          <w:color w:val="303AB2"/>
          <w:szCs w:val="22"/>
          <w:lang w:val="es-ES" w:eastAsia="es-ES_tradnl"/>
        </w:rPr>
        <w:t xml:space="preserve">% de los municipios </w:t>
      </w:r>
    </w:p>
    <w:p w14:paraId="69741442" w14:textId="541D6709" w:rsidR="002B2115" w:rsidRPr="008E0E61" w:rsidRDefault="0079657B" w:rsidP="008F3A0B">
      <w:pPr>
        <w:pStyle w:val="Prrafodelista"/>
        <w:numPr>
          <w:ilvl w:val="0"/>
          <w:numId w:val="7"/>
        </w:numPr>
        <w:spacing w:line="276" w:lineRule="auto"/>
        <w:ind w:right="-574"/>
        <w:jc w:val="both"/>
        <w:rPr>
          <w:rFonts w:ascii="Open Sans" w:hAnsi="Open Sans" w:cs="Open Sans"/>
          <w:bCs/>
          <w:iCs/>
          <w:color w:val="303AB2"/>
          <w:szCs w:val="20"/>
          <w:lang w:val="es-ES"/>
        </w:rPr>
      </w:pPr>
      <w:r w:rsidRPr="0079657B">
        <w:rPr>
          <w:rFonts w:ascii="Open Sans" w:eastAsia="Times New Roman" w:hAnsi="Open Sans" w:cs="Open Sans"/>
          <w:color w:val="303AB2"/>
          <w:szCs w:val="22"/>
          <w:lang w:val="es-ES" w:eastAsia="es-ES_tradnl"/>
        </w:rPr>
        <w:t>Calvià</w:t>
      </w:r>
      <w:r>
        <w:rPr>
          <w:rFonts w:ascii="Open Sans" w:eastAsia="Times New Roman" w:hAnsi="Open Sans" w:cs="Open Sans"/>
          <w:color w:val="303AB2"/>
          <w:szCs w:val="22"/>
          <w:lang w:val="es-ES" w:eastAsia="es-ES_tradnl"/>
        </w:rPr>
        <w:t xml:space="preserve"> (</w:t>
      </w:r>
      <w:r w:rsidRPr="0079657B">
        <w:rPr>
          <w:rFonts w:ascii="Open Sans" w:eastAsia="Times New Roman" w:hAnsi="Open Sans" w:cs="Open Sans"/>
          <w:color w:val="303AB2"/>
          <w:szCs w:val="22"/>
          <w:lang w:val="es-ES" w:eastAsia="es-ES_tradnl"/>
        </w:rPr>
        <w:t>Illes Balears</w:t>
      </w:r>
      <w:r>
        <w:rPr>
          <w:rFonts w:ascii="Open Sans" w:eastAsia="Times New Roman" w:hAnsi="Open Sans" w:cs="Open Sans"/>
          <w:color w:val="303AB2"/>
          <w:szCs w:val="22"/>
          <w:lang w:val="es-ES" w:eastAsia="es-ES_tradnl"/>
        </w:rPr>
        <w:t xml:space="preserve">) </w:t>
      </w:r>
      <w:r w:rsidR="00E825C2">
        <w:rPr>
          <w:rFonts w:ascii="Open Sans" w:eastAsia="Times New Roman" w:hAnsi="Open Sans" w:cs="Open Sans"/>
          <w:color w:val="303AB2"/>
          <w:szCs w:val="22"/>
          <w:lang w:val="es-ES" w:eastAsia="es-ES_tradnl"/>
        </w:rPr>
        <w:t xml:space="preserve">es la ciudad </w:t>
      </w:r>
      <w:r w:rsidR="002B2115" w:rsidRPr="002B2115">
        <w:rPr>
          <w:rFonts w:ascii="Open Sans" w:eastAsia="Times New Roman" w:hAnsi="Open Sans" w:cs="Open Sans"/>
          <w:color w:val="303AB2"/>
          <w:szCs w:val="22"/>
          <w:lang w:val="es-ES" w:eastAsia="es-ES_tradnl"/>
        </w:rPr>
        <w:t xml:space="preserve">que </w:t>
      </w:r>
      <w:r w:rsidR="00D75E2C" w:rsidRPr="002B2115">
        <w:rPr>
          <w:rFonts w:ascii="Open Sans" w:eastAsia="Times New Roman" w:hAnsi="Open Sans" w:cs="Open Sans"/>
          <w:color w:val="303AB2"/>
          <w:szCs w:val="22"/>
          <w:lang w:val="es-ES" w:eastAsia="es-ES_tradnl"/>
        </w:rPr>
        <w:t>más</w:t>
      </w:r>
      <w:r w:rsidR="002B2115" w:rsidRPr="002B2115">
        <w:rPr>
          <w:rFonts w:ascii="Open Sans" w:eastAsia="Times New Roman" w:hAnsi="Open Sans" w:cs="Open Sans"/>
          <w:color w:val="303AB2"/>
          <w:szCs w:val="22"/>
          <w:lang w:val="es-ES" w:eastAsia="es-ES_tradnl"/>
        </w:rPr>
        <w:t xml:space="preserve"> </w:t>
      </w:r>
      <w:r w:rsidR="00E825C2">
        <w:rPr>
          <w:rFonts w:ascii="Open Sans" w:eastAsia="Times New Roman" w:hAnsi="Open Sans" w:cs="Open Sans"/>
          <w:color w:val="303AB2"/>
          <w:szCs w:val="22"/>
          <w:lang w:val="es-ES" w:eastAsia="es-ES_tradnl"/>
        </w:rPr>
        <w:t>cae de precio</w:t>
      </w:r>
      <w:r w:rsidR="002B2115" w:rsidRPr="002B2115">
        <w:rPr>
          <w:rFonts w:ascii="Open Sans" w:eastAsia="Times New Roman" w:hAnsi="Open Sans" w:cs="Open Sans"/>
          <w:color w:val="303AB2"/>
          <w:szCs w:val="22"/>
          <w:lang w:val="es-ES" w:eastAsia="es-ES_tradnl"/>
        </w:rPr>
        <w:t xml:space="preserve"> </w:t>
      </w:r>
      <w:r w:rsidR="002B2115">
        <w:rPr>
          <w:rFonts w:ascii="Open Sans" w:eastAsia="Times New Roman" w:hAnsi="Open Sans" w:cs="Open Sans"/>
          <w:color w:val="303AB2"/>
          <w:szCs w:val="22"/>
          <w:lang w:val="es-ES" w:eastAsia="es-ES_tradnl"/>
        </w:rPr>
        <w:t xml:space="preserve">en </w:t>
      </w:r>
      <w:r>
        <w:rPr>
          <w:rFonts w:ascii="Open Sans" w:eastAsia="Times New Roman" w:hAnsi="Open Sans" w:cs="Open Sans"/>
          <w:color w:val="303AB2"/>
          <w:szCs w:val="22"/>
          <w:lang w:val="es-ES" w:eastAsia="es-ES_tradnl"/>
        </w:rPr>
        <w:t>octubre</w:t>
      </w:r>
      <w:r w:rsidR="002B2115" w:rsidRPr="002B2115">
        <w:rPr>
          <w:rFonts w:ascii="Open Sans" w:eastAsia="Times New Roman" w:hAnsi="Open Sans" w:cs="Open Sans"/>
          <w:color w:val="303AB2"/>
          <w:szCs w:val="22"/>
          <w:lang w:val="es-ES" w:eastAsia="es-ES_tradnl"/>
        </w:rPr>
        <w:t xml:space="preserve"> </w:t>
      </w:r>
      <w:r w:rsidR="002B2115">
        <w:rPr>
          <w:rFonts w:ascii="Open Sans" w:eastAsia="Times New Roman" w:hAnsi="Open Sans" w:cs="Open Sans"/>
          <w:color w:val="303AB2"/>
          <w:szCs w:val="22"/>
          <w:lang w:val="es-ES" w:eastAsia="es-ES_tradnl"/>
        </w:rPr>
        <w:t>(</w:t>
      </w:r>
      <w:r w:rsidR="00C72710">
        <w:rPr>
          <w:rFonts w:ascii="Open Sans" w:eastAsia="Times New Roman" w:hAnsi="Open Sans" w:cs="Open Sans"/>
          <w:color w:val="303AB2"/>
          <w:szCs w:val="22"/>
          <w:lang w:val="es-ES" w:eastAsia="es-ES_tradnl"/>
        </w:rPr>
        <w:t>-</w:t>
      </w:r>
      <w:r>
        <w:rPr>
          <w:rFonts w:ascii="Open Sans" w:eastAsia="Times New Roman" w:hAnsi="Open Sans" w:cs="Open Sans"/>
          <w:color w:val="303AB2"/>
          <w:szCs w:val="22"/>
          <w:lang w:val="es-ES" w:eastAsia="es-ES_tradnl"/>
        </w:rPr>
        <w:t>8</w:t>
      </w:r>
      <w:r w:rsidR="002B2115" w:rsidRPr="002B2115">
        <w:rPr>
          <w:rFonts w:ascii="Open Sans" w:eastAsia="Times New Roman" w:hAnsi="Open Sans" w:cs="Open Sans"/>
          <w:color w:val="303AB2"/>
          <w:szCs w:val="22"/>
          <w:lang w:val="es-ES" w:eastAsia="es-ES_tradnl"/>
        </w:rPr>
        <w:t>%</w:t>
      </w:r>
      <w:r w:rsidR="002B2115">
        <w:rPr>
          <w:rFonts w:ascii="Open Sans" w:eastAsia="Times New Roman" w:hAnsi="Open Sans" w:cs="Open Sans"/>
          <w:color w:val="303AB2"/>
          <w:szCs w:val="22"/>
          <w:lang w:val="es-ES" w:eastAsia="es-ES_tradnl"/>
        </w:rPr>
        <w:t>)</w:t>
      </w:r>
      <w:r w:rsidR="002B2115" w:rsidRPr="002B2115">
        <w:rPr>
          <w:rFonts w:ascii="Open Sans" w:eastAsia="Times New Roman" w:hAnsi="Open Sans" w:cs="Open Sans"/>
          <w:color w:val="303AB2"/>
          <w:szCs w:val="22"/>
          <w:lang w:val="es-ES" w:eastAsia="es-ES_tradnl"/>
        </w:rPr>
        <w:t xml:space="preserve"> </w:t>
      </w:r>
      <w:r w:rsidR="00607C0B">
        <w:rPr>
          <w:rFonts w:ascii="Open Sans" w:eastAsia="Times New Roman" w:hAnsi="Open Sans" w:cs="Open Sans"/>
          <w:color w:val="303AB2"/>
          <w:szCs w:val="22"/>
          <w:lang w:val="es-ES" w:eastAsia="es-ES_tradnl"/>
        </w:rPr>
        <w:t xml:space="preserve">y </w:t>
      </w:r>
      <w:r w:rsidRPr="0079657B">
        <w:rPr>
          <w:rFonts w:ascii="Open Sans" w:eastAsia="Times New Roman" w:hAnsi="Open Sans" w:cs="Open Sans"/>
          <w:color w:val="303AB2"/>
          <w:szCs w:val="22"/>
          <w:lang w:val="es-ES" w:eastAsia="es-ES_tradnl"/>
        </w:rPr>
        <w:t>Alcorcón</w:t>
      </w:r>
      <w:r>
        <w:rPr>
          <w:rFonts w:ascii="Open Sans" w:eastAsia="Times New Roman" w:hAnsi="Open Sans" w:cs="Open Sans"/>
          <w:color w:val="303AB2"/>
          <w:szCs w:val="22"/>
          <w:lang w:val="es-ES" w:eastAsia="es-ES_tradnl"/>
        </w:rPr>
        <w:t xml:space="preserve"> (Madrid)</w:t>
      </w:r>
      <w:r w:rsidR="00A64479" w:rsidRPr="00A64479">
        <w:rPr>
          <w:rFonts w:ascii="Open Sans" w:eastAsia="Times New Roman" w:hAnsi="Open Sans" w:cs="Open Sans"/>
          <w:color w:val="303AB2"/>
          <w:szCs w:val="22"/>
          <w:lang w:val="es-ES" w:eastAsia="es-ES_tradnl"/>
        </w:rPr>
        <w:t xml:space="preserve"> </w:t>
      </w:r>
      <w:r w:rsidR="00607C0B">
        <w:rPr>
          <w:rFonts w:ascii="Open Sans" w:eastAsia="Times New Roman" w:hAnsi="Open Sans" w:cs="Open Sans"/>
          <w:color w:val="303AB2"/>
          <w:szCs w:val="22"/>
          <w:lang w:val="es-ES" w:eastAsia="es-ES_tradnl"/>
        </w:rPr>
        <w:t xml:space="preserve">es </w:t>
      </w:r>
      <w:r w:rsidR="00E825C2">
        <w:rPr>
          <w:rFonts w:ascii="Open Sans" w:eastAsia="Times New Roman" w:hAnsi="Open Sans" w:cs="Open Sans"/>
          <w:color w:val="303AB2"/>
          <w:szCs w:val="22"/>
          <w:lang w:val="es-ES" w:eastAsia="es-ES_tradnl"/>
        </w:rPr>
        <w:t>la</w:t>
      </w:r>
      <w:r w:rsidR="00607C0B">
        <w:rPr>
          <w:rFonts w:ascii="Open Sans" w:eastAsia="Times New Roman" w:hAnsi="Open Sans" w:cs="Open Sans"/>
          <w:color w:val="303AB2"/>
          <w:szCs w:val="22"/>
          <w:lang w:val="es-ES" w:eastAsia="es-ES_tradnl"/>
        </w:rPr>
        <w:t xml:space="preserve"> que más </w:t>
      </w:r>
      <w:r w:rsidR="00E825C2">
        <w:rPr>
          <w:rFonts w:ascii="Open Sans" w:eastAsia="Times New Roman" w:hAnsi="Open Sans" w:cs="Open Sans"/>
          <w:color w:val="303AB2"/>
          <w:szCs w:val="22"/>
          <w:lang w:val="es-ES" w:eastAsia="es-ES_tradnl"/>
        </w:rPr>
        <w:t>incrementa</w:t>
      </w:r>
      <w:r w:rsidR="00607C0B">
        <w:rPr>
          <w:rFonts w:ascii="Open Sans" w:eastAsia="Times New Roman" w:hAnsi="Open Sans" w:cs="Open Sans"/>
          <w:color w:val="303AB2"/>
          <w:szCs w:val="22"/>
          <w:lang w:val="es-ES" w:eastAsia="es-ES_tradnl"/>
        </w:rPr>
        <w:t xml:space="preserve"> (</w:t>
      </w:r>
      <w:r>
        <w:rPr>
          <w:rFonts w:ascii="Open Sans" w:eastAsia="Times New Roman" w:hAnsi="Open Sans" w:cs="Open Sans"/>
          <w:color w:val="303AB2"/>
          <w:szCs w:val="22"/>
          <w:lang w:val="es-ES" w:eastAsia="es-ES_tradnl"/>
        </w:rPr>
        <w:t>4,1</w:t>
      </w:r>
      <w:r w:rsidR="00607C0B">
        <w:rPr>
          <w:rFonts w:ascii="Open Sans" w:eastAsia="Times New Roman" w:hAnsi="Open Sans" w:cs="Open Sans"/>
          <w:color w:val="303AB2"/>
          <w:szCs w:val="22"/>
          <w:lang w:val="es-ES" w:eastAsia="es-ES_tradnl"/>
        </w:rPr>
        <w:t xml:space="preserve">%) </w:t>
      </w:r>
      <w:r w:rsidR="00D75E2C" w:rsidRPr="002B2115">
        <w:rPr>
          <w:rFonts w:ascii="Open Sans" w:hAnsi="Open Sans" w:cs="Open Sans"/>
          <w:color w:val="303AB2"/>
        </w:rPr>
        <w:t xml:space="preserve"> </w:t>
      </w:r>
    </w:p>
    <w:p w14:paraId="6E5DB36B" w14:textId="2A21FA61" w:rsidR="008E0E61" w:rsidRPr="002B2115" w:rsidRDefault="00DB0BC8" w:rsidP="008F3A0B">
      <w:pPr>
        <w:pStyle w:val="Prrafodelista"/>
        <w:numPr>
          <w:ilvl w:val="0"/>
          <w:numId w:val="7"/>
        </w:numPr>
        <w:spacing w:line="276" w:lineRule="auto"/>
        <w:ind w:right="-574"/>
        <w:jc w:val="both"/>
        <w:rPr>
          <w:rFonts w:ascii="Open Sans" w:hAnsi="Open Sans" w:cs="Open Sans"/>
          <w:bCs/>
          <w:iCs/>
          <w:color w:val="303AB2"/>
          <w:szCs w:val="20"/>
          <w:lang w:val="es-ES"/>
        </w:rPr>
      </w:pPr>
      <w:r>
        <w:rPr>
          <w:rFonts w:ascii="Open Sans" w:hAnsi="Open Sans" w:cs="Open Sans"/>
          <w:color w:val="303AB2"/>
        </w:rPr>
        <w:t>En Madrid</w:t>
      </w:r>
      <w:r w:rsidR="00E825C2">
        <w:rPr>
          <w:rFonts w:ascii="Open Sans" w:hAnsi="Open Sans" w:cs="Open Sans"/>
          <w:color w:val="303AB2"/>
        </w:rPr>
        <w:t xml:space="preserve"> </w:t>
      </w:r>
      <w:r w:rsidR="006B63FE">
        <w:rPr>
          <w:rFonts w:ascii="Open Sans" w:hAnsi="Open Sans" w:cs="Open Sans"/>
          <w:color w:val="303AB2"/>
        </w:rPr>
        <w:t xml:space="preserve">y Barcelona los precios caen en </w:t>
      </w:r>
      <w:r w:rsidR="0079657B">
        <w:rPr>
          <w:rFonts w:ascii="Open Sans" w:hAnsi="Open Sans" w:cs="Open Sans"/>
          <w:color w:val="303AB2"/>
        </w:rPr>
        <w:t xml:space="preserve">la mayoría de los </w:t>
      </w:r>
      <w:r w:rsidR="006B63FE">
        <w:rPr>
          <w:rFonts w:ascii="Open Sans" w:hAnsi="Open Sans" w:cs="Open Sans"/>
          <w:color w:val="303AB2"/>
        </w:rPr>
        <w:t xml:space="preserve">distritos </w:t>
      </w:r>
      <w:r w:rsidR="00E825C2">
        <w:rPr>
          <w:rFonts w:ascii="Open Sans" w:hAnsi="Open Sans" w:cs="Open Sans"/>
          <w:color w:val="303AB2"/>
        </w:rPr>
        <w:t xml:space="preserve"> </w:t>
      </w:r>
      <w:r>
        <w:rPr>
          <w:rFonts w:ascii="Open Sans" w:hAnsi="Open Sans" w:cs="Open Sans"/>
          <w:color w:val="303AB2"/>
        </w:rPr>
        <w:t xml:space="preserve"> </w:t>
      </w:r>
    </w:p>
    <w:p w14:paraId="36515B93" w14:textId="30CD139F" w:rsidR="00450B0D" w:rsidRPr="002B2115" w:rsidRDefault="00450B0D" w:rsidP="00033869">
      <w:pPr>
        <w:pStyle w:val="Prrafodelista"/>
        <w:spacing w:line="276" w:lineRule="auto"/>
        <w:ind w:left="0" w:right="-574" w:firstLine="720"/>
        <w:jc w:val="both"/>
        <w:rPr>
          <w:rFonts w:ascii="Open Sans" w:hAnsi="Open Sans" w:cs="Open Sans"/>
          <w:bCs/>
          <w:iCs/>
          <w:color w:val="303AB2"/>
          <w:szCs w:val="20"/>
          <w:lang w:val="es-ES"/>
        </w:rPr>
      </w:pPr>
      <w:r w:rsidRPr="002B2115">
        <w:rPr>
          <w:rFonts w:ascii="Open Sans Light" w:hAnsi="Open Sans Light" w:cs="Open Sans Light"/>
          <w:b/>
          <w:iCs/>
          <w:color w:val="303AB2"/>
          <w:szCs w:val="20"/>
          <w:lang w:val="es-ES"/>
        </w:rPr>
        <w:br/>
      </w:r>
      <w:r w:rsidR="003E2AB9" w:rsidRPr="002B2115">
        <w:rPr>
          <w:rFonts w:ascii="Open Sans" w:hAnsi="Open Sans" w:cs="Open Sans"/>
          <w:bCs/>
          <w:iCs/>
          <w:color w:val="303AB2"/>
          <w:szCs w:val="20"/>
          <w:lang w:val="es-ES"/>
        </w:rPr>
        <w:t>Madrid,</w:t>
      </w:r>
      <w:r w:rsidR="00A33E7A">
        <w:rPr>
          <w:rFonts w:ascii="Open Sans" w:hAnsi="Open Sans" w:cs="Open Sans"/>
          <w:bCs/>
          <w:iCs/>
          <w:color w:val="303AB2"/>
          <w:szCs w:val="20"/>
          <w:lang w:val="es-ES"/>
        </w:rPr>
        <w:t xml:space="preserve"> </w:t>
      </w:r>
      <w:r w:rsidR="00B03BCA">
        <w:rPr>
          <w:rFonts w:ascii="Open Sans" w:hAnsi="Open Sans" w:cs="Open Sans"/>
          <w:bCs/>
          <w:iCs/>
          <w:color w:val="303AB2"/>
          <w:szCs w:val="20"/>
          <w:lang w:val="es-ES"/>
        </w:rPr>
        <w:t>16</w:t>
      </w:r>
      <w:r w:rsidR="006F6BF2">
        <w:rPr>
          <w:rFonts w:ascii="Open Sans" w:hAnsi="Open Sans" w:cs="Open Sans"/>
          <w:bCs/>
          <w:iCs/>
          <w:color w:val="303AB2"/>
          <w:szCs w:val="20"/>
          <w:lang w:val="es-ES"/>
        </w:rPr>
        <w:t xml:space="preserve"> </w:t>
      </w:r>
      <w:r w:rsidR="003E2AB9" w:rsidRPr="002B2115">
        <w:rPr>
          <w:rFonts w:ascii="Open Sans" w:hAnsi="Open Sans" w:cs="Open Sans"/>
          <w:bCs/>
          <w:iCs/>
          <w:color w:val="303AB2"/>
          <w:szCs w:val="20"/>
          <w:lang w:val="es-ES"/>
        </w:rPr>
        <w:t xml:space="preserve">de </w:t>
      </w:r>
      <w:r w:rsidR="00B03BCA">
        <w:rPr>
          <w:rFonts w:ascii="Open Sans" w:hAnsi="Open Sans" w:cs="Open Sans"/>
          <w:bCs/>
          <w:iCs/>
          <w:color w:val="303AB2"/>
          <w:szCs w:val="20"/>
          <w:lang w:val="es-ES"/>
        </w:rPr>
        <w:t>noviembre</w:t>
      </w:r>
      <w:r w:rsidR="002E0625">
        <w:rPr>
          <w:rFonts w:ascii="Open Sans" w:hAnsi="Open Sans" w:cs="Open Sans"/>
          <w:bCs/>
          <w:iCs/>
          <w:color w:val="303AB2"/>
          <w:szCs w:val="20"/>
          <w:lang w:val="es-ES"/>
        </w:rPr>
        <w:t xml:space="preserve"> </w:t>
      </w:r>
      <w:r w:rsidR="003E2AB9" w:rsidRPr="002B2115">
        <w:rPr>
          <w:rFonts w:ascii="Open Sans" w:hAnsi="Open Sans" w:cs="Open Sans"/>
          <w:bCs/>
          <w:iCs/>
          <w:color w:val="303AB2"/>
          <w:szCs w:val="20"/>
          <w:lang w:val="es-ES"/>
        </w:rPr>
        <w:t>de 20</w:t>
      </w:r>
      <w:r w:rsidR="00581FA4">
        <w:rPr>
          <w:rFonts w:ascii="Open Sans" w:hAnsi="Open Sans" w:cs="Open Sans"/>
          <w:bCs/>
          <w:iCs/>
          <w:color w:val="303AB2"/>
          <w:szCs w:val="20"/>
          <w:lang w:val="es-ES"/>
        </w:rPr>
        <w:t>20</w:t>
      </w:r>
    </w:p>
    <w:p w14:paraId="49DBD185" w14:textId="77777777" w:rsidR="0097295D" w:rsidRPr="0029335C" w:rsidRDefault="0097295D" w:rsidP="000510FF">
      <w:pPr>
        <w:pStyle w:val="Prrafodelista"/>
        <w:spacing w:line="276" w:lineRule="auto"/>
        <w:ind w:right="-574"/>
        <w:jc w:val="both"/>
        <w:rPr>
          <w:rFonts w:ascii="Open Sans" w:hAnsi="Open Sans" w:cs="Open Sans"/>
          <w:bCs/>
          <w:iCs/>
          <w:color w:val="303AB2"/>
          <w:szCs w:val="20"/>
          <w:lang w:val="es-ES"/>
        </w:rPr>
      </w:pPr>
    </w:p>
    <w:p w14:paraId="6FD4D180" w14:textId="2899B6FE" w:rsidR="00383D67" w:rsidRDefault="003701F2" w:rsidP="0029335C">
      <w:pPr>
        <w:spacing w:line="276" w:lineRule="auto"/>
        <w:ind w:right="-574"/>
        <w:jc w:val="both"/>
        <w:rPr>
          <w:rFonts w:ascii="Open Sans" w:hAnsi="Open Sans" w:cs="Open Sans"/>
          <w:color w:val="000000"/>
        </w:rPr>
      </w:pPr>
      <w:r w:rsidRPr="003701F2">
        <w:rPr>
          <w:rFonts w:ascii="Open Sans" w:hAnsi="Open Sans" w:cs="Open Sans"/>
          <w:color w:val="000000"/>
        </w:rPr>
        <w:t xml:space="preserve">En </w:t>
      </w:r>
      <w:r w:rsidR="00B80FB1">
        <w:rPr>
          <w:rFonts w:ascii="Open Sans" w:hAnsi="Open Sans" w:cs="Open Sans"/>
          <w:color w:val="000000"/>
        </w:rPr>
        <w:t>España</w:t>
      </w:r>
      <w:r>
        <w:rPr>
          <w:rFonts w:ascii="Open Sans" w:hAnsi="Open Sans" w:cs="Open Sans"/>
          <w:color w:val="000000"/>
        </w:rPr>
        <w:t xml:space="preserve"> </w:t>
      </w:r>
      <w:r w:rsidRPr="003701F2">
        <w:rPr>
          <w:rFonts w:ascii="Open Sans" w:hAnsi="Open Sans" w:cs="Open Sans"/>
          <w:color w:val="000000"/>
        </w:rPr>
        <w:t xml:space="preserve">el precio de la vivienda </w:t>
      </w:r>
      <w:r>
        <w:rPr>
          <w:rFonts w:ascii="Open Sans" w:hAnsi="Open Sans" w:cs="Open Sans"/>
          <w:color w:val="000000"/>
        </w:rPr>
        <w:t xml:space="preserve">en alquiler </w:t>
      </w:r>
      <w:r w:rsidR="001A1F5E">
        <w:rPr>
          <w:rFonts w:ascii="Open Sans" w:hAnsi="Open Sans" w:cs="Open Sans"/>
          <w:color w:val="000000"/>
        </w:rPr>
        <w:t>sube</w:t>
      </w:r>
      <w:r w:rsidRPr="003701F2">
        <w:rPr>
          <w:rFonts w:ascii="Open Sans" w:hAnsi="Open Sans" w:cs="Open Sans"/>
          <w:color w:val="000000"/>
        </w:rPr>
        <w:t xml:space="preserve"> un </w:t>
      </w:r>
      <w:r w:rsidR="0002125B">
        <w:rPr>
          <w:rFonts w:ascii="Open Sans" w:hAnsi="Open Sans" w:cs="Open Sans"/>
          <w:color w:val="000000"/>
        </w:rPr>
        <w:t>0,</w:t>
      </w:r>
      <w:r w:rsidR="001A1F5E">
        <w:rPr>
          <w:rFonts w:ascii="Open Sans" w:hAnsi="Open Sans" w:cs="Open Sans"/>
          <w:color w:val="000000"/>
        </w:rPr>
        <w:t>1</w:t>
      </w:r>
      <w:r w:rsidRPr="003701F2">
        <w:rPr>
          <w:rFonts w:ascii="Open Sans" w:hAnsi="Open Sans" w:cs="Open Sans"/>
          <w:color w:val="000000"/>
        </w:rPr>
        <w:t>% en su variación mensual y un</w:t>
      </w:r>
      <w:r w:rsidR="00A33E7A">
        <w:rPr>
          <w:rFonts w:ascii="Open Sans" w:hAnsi="Open Sans" w:cs="Open Sans"/>
          <w:color w:val="000000"/>
        </w:rPr>
        <w:t xml:space="preserve"> </w:t>
      </w:r>
      <w:r w:rsidR="00383D67">
        <w:rPr>
          <w:rFonts w:ascii="Open Sans" w:hAnsi="Open Sans" w:cs="Open Sans"/>
          <w:color w:val="000000"/>
        </w:rPr>
        <w:t>9</w:t>
      </w:r>
      <w:r w:rsidR="001A1F5E">
        <w:rPr>
          <w:rFonts w:ascii="Open Sans" w:hAnsi="Open Sans" w:cs="Open Sans"/>
          <w:color w:val="000000"/>
        </w:rPr>
        <w:t>,6</w:t>
      </w:r>
      <w:r w:rsidRPr="003701F2">
        <w:rPr>
          <w:rFonts w:ascii="Open Sans" w:hAnsi="Open Sans" w:cs="Open Sans"/>
          <w:color w:val="000000"/>
        </w:rPr>
        <w:t xml:space="preserve">% </w:t>
      </w:r>
      <w:r w:rsidR="002C23B0">
        <w:rPr>
          <w:rFonts w:ascii="Open Sans" w:hAnsi="Open Sans" w:cs="Open Sans"/>
          <w:color w:val="000000"/>
        </w:rPr>
        <w:t xml:space="preserve">en </w:t>
      </w:r>
      <w:r w:rsidRPr="003701F2">
        <w:rPr>
          <w:rFonts w:ascii="Open Sans" w:hAnsi="Open Sans" w:cs="Open Sans"/>
          <w:color w:val="000000"/>
        </w:rPr>
        <w:t xml:space="preserve">su variación interanual, situando su precio en </w:t>
      </w:r>
      <w:r w:rsidR="00F6414F">
        <w:rPr>
          <w:rFonts w:ascii="Open Sans" w:hAnsi="Open Sans" w:cs="Open Sans"/>
          <w:color w:val="000000"/>
        </w:rPr>
        <w:t>1</w:t>
      </w:r>
      <w:r w:rsidR="00A33E7A">
        <w:rPr>
          <w:rFonts w:ascii="Open Sans" w:hAnsi="Open Sans" w:cs="Open Sans"/>
          <w:color w:val="000000"/>
        </w:rPr>
        <w:t>0,</w:t>
      </w:r>
      <w:r w:rsidR="0002125B">
        <w:rPr>
          <w:rFonts w:ascii="Open Sans" w:hAnsi="Open Sans" w:cs="Open Sans"/>
          <w:color w:val="000000"/>
        </w:rPr>
        <w:t>7</w:t>
      </w:r>
      <w:r w:rsidR="00383D67">
        <w:rPr>
          <w:rFonts w:ascii="Open Sans" w:hAnsi="Open Sans" w:cs="Open Sans"/>
          <w:color w:val="000000"/>
        </w:rPr>
        <w:t>5</w:t>
      </w:r>
      <w:r w:rsidR="00A3360F">
        <w:rPr>
          <w:rFonts w:ascii="Open Sans" w:hAnsi="Open Sans" w:cs="Open Sans"/>
          <w:color w:val="000000"/>
        </w:rPr>
        <w:t xml:space="preserve"> </w:t>
      </w:r>
      <w:r w:rsidRPr="003701F2">
        <w:rPr>
          <w:rFonts w:ascii="Open Sans" w:hAnsi="Open Sans" w:cs="Open Sans"/>
          <w:color w:val="000000"/>
        </w:rPr>
        <w:t>€/m</w:t>
      </w:r>
      <w:r w:rsidRPr="003701F2">
        <w:rPr>
          <w:rFonts w:ascii="Open Sans" w:hAnsi="Open Sans" w:cs="Open Sans"/>
          <w:color w:val="000000"/>
          <w:vertAlign w:val="superscript"/>
        </w:rPr>
        <w:t>2</w:t>
      </w:r>
      <w:r w:rsidRPr="003701F2">
        <w:rPr>
          <w:rFonts w:ascii="Open Sans" w:hAnsi="Open Sans" w:cs="Open Sans"/>
          <w:color w:val="000000"/>
        </w:rPr>
        <w:t xml:space="preserve"> </w:t>
      </w:r>
      <w:r>
        <w:rPr>
          <w:rFonts w:ascii="Open Sans" w:hAnsi="Open Sans" w:cs="Open Sans"/>
          <w:color w:val="000000"/>
        </w:rPr>
        <w:t xml:space="preserve">al mes </w:t>
      </w:r>
      <w:r w:rsidRPr="003701F2">
        <w:rPr>
          <w:rFonts w:ascii="Open Sans" w:hAnsi="Open Sans" w:cs="Open Sans"/>
          <w:color w:val="000000"/>
        </w:rPr>
        <w:t xml:space="preserve">en </w:t>
      </w:r>
      <w:r w:rsidR="00383D67">
        <w:rPr>
          <w:rFonts w:ascii="Open Sans" w:hAnsi="Open Sans" w:cs="Open Sans"/>
          <w:color w:val="000000"/>
        </w:rPr>
        <w:t>octubre</w:t>
      </w:r>
      <w:r w:rsidR="002C23B0">
        <w:rPr>
          <w:rFonts w:ascii="Open Sans" w:hAnsi="Open Sans" w:cs="Open Sans"/>
          <w:color w:val="000000"/>
        </w:rPr>
        <w:t>,</w:t>
      </w:r>
      <w:r w:rsidR="00146A5C">
        <w:rPr>
          <w:rFonts w:ascii="Open Sans" w:hAnsi="Open Sans" w:cs="Open Sans"/>
          <w:color w:val="000000"/>
        </w:rPr>
        <w:t xml:space="preserve"> </w:t>
      </w:r>
      <w:r w:rsidRPr="003701F2">
        <w:rPr>
          <w:rFonts w:ascii="Open Sans" w:hAnsi="Open Sans" w:cs="Open Sans"/>
          <w:color w:val="000000"/>
        </w:rPr>
        <w:t xml:space="preserve">según los datos del Índice Inmobiliario </w:t>
      </w:r>
      <w:hyperlink r:id="rId9" w:history="1">
        <w:r w:rsidR="002C23B0" w:rsidRPr="002C23B0">
          <w:rPr>
            <w:rStyle w:val="Hipervnculo"/>
            <w:rFonts w:ascii="Open Sans" w:hAnsi="Open Sans" w:cs="Open Sans"/>
          </w:rPr>
          <w:t>Fotocasa</w:t>
        </w:r>
      </w:hyperlink>
      <w:r w:rsidRPr="003701F2">
        <w:rPr>
          <w:rFonts w:ascii="Open Sans" w:hAnsi="Open Sans" w:cs="Open Sans"/>
          <w:color w:val="000000"/>
        </w:rPr>
        <w:t xml:space="preserve">. </w:t>
      </w:r>
      <w:r w:rsidR="0029335C">
        <w:rPr>
          <w:rFonts w:ascii="Open Sans" w:hAnsi="Open Sans" w:cs="Open Sans"/>
          <w:color w:val="000000"/>
        </w:rPr>
        <w:t xml:space="preserve">Este </w:t>
      </w:r>
      <w:r w:rsidR="00CB35EC">
        <w:rPr>
          <w:rFonts w:ascii="Open Sans" w:hAnsi="Open Sans" w:cs="Open Sans"/>
          <w:color w:val="000000"/>
        </w:rPr>
        <w:t xml:space="preserve">último </w:t>
      </w:r>
      <w:r w:rsidR="0029335C">
        <w:rPr>
          <w:rFonts w:ascii="Open Sans" w:hAnsi="Open Sans" w:cs="Open Sans"/>
          <w:color w:val="000000"/>
        </w:rPr>
        <w:t xml:space="preserve">valor </w:t>
      </w:r>
      <w:r w:rsidR="00383D67">
        <w:rPr>
          <w:rFonts w:ascii="Open Sans" w:hAnsi="Open Sans" w:cs="Open Sans"/>
          <w:color w:val="000000"/>
        </w:rPr>
        <w:t xml:space="preserve">es el quinto incremento </w:t>
      </w:r>
      <w:r w:rsidR="00CB35EC">
        <w:rPr>
          <w:rFonts w:ascii="Open Sans" w:hAnsi="Open Sans" w:cs="Open Sans"/>
          <w:color w:val="000000"/>
        </w:rPr>
        <w:t xml:space="preserve">interanual </w:t>
      </w:r>
      <w:r w:rsidR="00383D67">
        <w:rPr>
          <w:rFonts w:ascii="Open Sans" w:hAnsi="Open Sans" w:cs="Open Sans"/>
          <w:color w:val="000000"/>
        </w:rPr>
        <w:t xml:space="preserve">en cadena registrado en 2020 y la </w:t>
      </w:r>
      <w:r w:rsidR="00E80EEB">
        <w:rPr>
          <w:rFonts w:ascii="Open Sans" w:hAnsi="Open Sans" w:cs="Open Sans"/>
          <w:color w:val="000000"/>
        </w:rPr>
        <w:t>quinta</w:t>
      </w:r>
      <w:r w:rsidR="00383D67">
        <w:rPr>
          <w:rFonts w:ascii="Open Sans" w:hAnsi="Open Sans" w:cs="Open Sans"/>
          <w:color w:val="000000"/>
        </w:rPr>
        <w:t xml:space="preserve"> subida más alta después </w:t>
      </w:r>
      <w:r w:rsidR="00CB35EC">
        <w:rPr>
          <w:rFonts w:ascii="Open Sans" w:hAnsi="Open Sans" w:cs="Open Sans"/>
          <w:color w:val="000000"/>
        </w:rPr>
        <w:t>del</w:t>
      </w:r>
      <w:r w:rsidR="00383D67">
        <w:rPr>
          <w:rFonts w:ascii="Open Sans" w:hAnsi="Open Sans" w:cs="Open Sans"/>
          <w:color w:val="000000"/>
        </w:rPr>
        <w:t xml:space="preserve"> 12% de septiembre, del 10,9% de abril</w:t>
      </w:r>
      <w:r w:rsidR="00E80EEB">
        <w:rPr>
          <w:rFonts w:ascii="Open Sans" w:hAnsi="Open Sans" w:cs="Open Sans"/>
          <w:color w:val="000000"/>
        </w:rPr>
        <w:t>,</w:t>
      </w:r>
      <w:r w:rsidR="00383D67">
        <w:rPr>
          <w:rFonts w:ascii="Open Sans" w:hAnsi="Open Sans" w:cs="Open Sans"/>
          <w:color w:val="000000"/>
        </w:rPr>
        <w:t xml:space="preserve"> del 9,9% de marzo</w:t>
      </w:r>
      <w:r w:rsidR="00E80EEB">
        <w:rPr>
          <w:rFonts w:ascii="Open Sans" w:hAnsi="Open Sans" w:cs="Open Sans"/>
          <w:color w:val="000000"/>
        </w:rPr>
        <w:t xml:space="preserve"> y del 9,8% de mayo</w:t>
      </w:r>
      <w:r w:rsidR="00383D67">
        <w:rPr>
          <w:rFonts w:ascii="Open Sans" w:hAnsi="Open Sans" w:cs="Open Sans"/>
          <w:color w:val="000000"/>
        </w:rPr>
        <w:t>.</w:t>
      </w:r>
    </w:p>
    <w:p w14:paraId="1867D643" w14:textId="77777777" w:rsidR="00383D67" w:rsidRDefault="00383D67" w:rsidP="0029335C">
      <w:pPr>
        <w:spacing w:line="276" w:lineRule="auto"/>
        <w:ind w:right="-574"/>
        <w:jc w:val="both"/>
        <w:rPr>
          <w:rFonts w:ascii="Open Sans" w:hAnsi="Open Sans" w:cs="Open Sans"/>
          <w:color w:val="000000"/>
        </w:rPr>
      </w:pPr>
    </w:p>
    <w:p w14:paraId="0F74D764" w14:textId="17B1B80C" w:rsidR="001C79E5" w:rsidRPr="001C79E5" w:rsidRDefault="001C79E5" w:rsidP="001C79E5">
      <w:pPr>
        <w:spacing w:line="276" w:lineRule="auto"/>
        <w:ind w:right="-574"/>
        <w:jc w:val="center"/>
        <w:rPr>
          <w:rFonts w:ascii="Open Sans Light" w:eastAsia="Times New Roman" w:hAnsi="Open Sans Light" w:cs="Open Sans Light"/>
          <w:b/>
          <w:iCs/>
          <w:color w:val="303AB2"/>
          <w:sz w:val="28"/>
          <w:szCs w:val="22"/>
          <w:lang w:val="es-ES" w:eastAsia="es-ES_tradnl"/>
        </w:rPr>
      </w:pPr>
      <w:r w:rsidRPr="001C79E5">
        <w:rPr>
          <w:rFonts w:ascii="Open Sans Light" w:eastAsia="Times New Roman" w:hAnsi="Open Sans Light" w:cs="Open Sans Light"/>
          <w:b/>
          <w:iCs/>
          <w:color w:val="303AB2"/>
          <w:sz w:val="28"/>
          <w:szCs w:val="22"/>
          <w:lang w:val="es-ES" w:eastAsia="es-ES_tradnl"/>
        </w:rPr>
        <w:t>Variación mensual e interanual por meses</w:t>
      </w:r>
    </w:p>
    <w:p w14:paraId="7BABAF02" w14:textId="64B221D4" w:rsidR="001C79E5" w:rsidRDefault="00383D67" w:rsidP="001C79E5">
      <w:pPr>
        <w:spacing w:line="276" w:lineRule="auto"/>
        <w:ind w:right="-574"/>
        <w:jc w:val="center"/>
        <w:rPr>
          <w:rFonts w:ascii="Open Sans" w:hAnsi="Open Sans" w:cs="Open Sans"/>
          <w:color w:val="000000"/>
        </w:rPr>
      </w:pPr>
      <w:r>
        <w:rPr>
          <w:noProof/>
        </w:rPr>
        <w:drawing>
          <wp:inline distT="0" distB="0" distL="0" distR="0" wp14:anchorId="20C89EC7" wp14:editId="73360A94">
            <wp:extent cx="5097556" cy="2366963"/>
            <wp:effectExtent l="0" t="0" r="8255" b="0"/>
            <wp:docPr id="1" name="Gráfico 1">
              <a:extLst xmlns:a="http://schemas.openxmlformats.org/drawingml/2006/main">
                <a:ext uri="{FF2B5EF4-FFF2-40B4-BE49-F238E27FC236}">
                  <a16:creationId xmlns:a16="http://schemas.microsoft.com/office/drawing/2014/main" id="{8F08B285-12DE-4932-A009-90076C4D6F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22DE35" w14:textId="77777777" w:rsidR="000A772E" w:rsidRDefault="000A772E" w:rsidP="00955D30">
      <w:pPr>
        <w:spacing w:line="276" w:lineRule="auto"/>
        <w:ind w:right="-574"/>
        <w:jc w:val="both"/>
        <w:rPr>
          <w:rFonts w:ascii="Open Sans" w:hAnsi="Open Sans" w:cs="Open Sans"/>
          <w:color w:val="000000"/>
        </w:rPr>
      </w:pPr>
    </w:p>
    <w:p w14:paraId="30B54CF9" w14:textId="77777777" w:rsidR="000A772E" w:rsidRDefault="000A772E" w:rsidP="00955D30">
      <w:pPr>
        <w:spacing w:line="276" w:lineRule="auto"/>
        <w:ind w:right="-574"/>
        <w:jc w:val="both"/>
        <w:rPr>
          <w:rFonts w:ascii="Open Sans" w:hAnsi="Open Sans" w:cs="Open Sans"/>
          <w:color w:val="000000"/>
        </w:rPr>
      </w:pPr>
    </w:p>
    <w:p w14:paraId="3897F394" w14:textId="0697D8F5" w:rsidR="000A772E" w:rsidRDefault="000A772E" w:rsidP="00955D30">
      <w:pPr>
        <w:spacing w:line="276" w:lineRule="auto"/>
        <w:ind w:right="-574"/>
        <w:jc w:val="both"/>
        <w:rPr>
          <w:rFonts w:ascii="Open Sans" w:hAnsi="Open Sans" w:cs="Open Sans"/>
          <w:color w:val="000000"/>
        </w:rPr>
      </w:pPr>
      <w:r>
        <w:rPr>
          <w:rFonts w:ascii="Open Sans" w:hAnsi="Open Sans" w:cs="Open Sans"/>
          <w:color w:val="000000"/>
        </w:rPr>
        <w:lastRenderedPageBreak/>
        <w:t xml:space="preserve">“Aunque el precio del alquiler aún sube con fuerza en parte de las comunidades autónomas a nivel interanual estamos empezando ya a detectar algunas comunidades en las que los precios del alquiler han alcanzado precios elevados y ya están registrando descensos interanuales desde hace meses. Es el caso de Baleares (-6,8%), Canarias (-2,2%) y Madrid (-2,1%). Ahora mismo el mercado del alquiler está evolucionando a diferentes velocidades y mientras hay zonas en las que los incrementos aún son elevados en otras las caídas de precio son ya una realidad”, explica Anaïs López, directora de Comunicación de </w:t>
      </w:r>
      <w:hyperlink r:id="rId11" w:history="1">
        <w:r w:rsidRPr="002C23B0">
          <w:rPr>
            <w:rStyle w:val="Hipervnculo"/>
            <w:rFonts w:ascii="Open Sans" w:hAnsi="Open Sans" w:cs="Open Sans"/>
          </w:rPr>
          <w:t>Fotocasa</w:t>
        </w:r>
      </w:hyperlink>
      <w:r>
        <w:rPr>
          <w:rFonts w:ascii="Open Sans" w:hAnsi="Open Sans" w:cs="Open Sans"/>
          <w:color w:val="000000"/>
        </w:rPr>
        <w:t xml:space="preserve">. </w:t>
      </w:r>
    </w:p>
    <w:p w14:paraId="12373F33" w14:textId="77777777" w:rsidR="000A772E" w:rsidRDefault="000A772E" w:rsidP="00955D30">
      <w:pPr>
        <w:spacing w:line="276" w:lineRule="auto"/>
        <w:ind w:right="-574"/>
        <w:jc w:val="both"/>
        <w:rPr>
          <w:rFonts w:ascii="Open Sans" w:hAnsi="Open Sans" w:cs="Open Sans"/>
          <w:color w:val="000000"/>
        </w:rPr>
      </w:pPr>
    </w:p>
    <w:p w14:paraId="729976E3" w14:textId="3656BCDB" w:rsidR="00955D30" w:rsidRDefault="00DF0BBC" w:rsidP="00955D30">
      <w:pPr>
        <w:spacing w:line="276" w:lineRule="auto"/>
        <w:ind w:right="-574"/>
        <w:jc w:val="both"/>
        <w:rPr>
          <w:rFonts w:ascii="Open Sans" w:hAnsi="Open Sans" w:cs="Open Sans"/>
          <w:color w:val="000000"/>
        </w:rPr>
      </w:pPr>
      <w:r w:rsidRPr="00F64561">
        <w:rPr>
          <w:rFonts w:ascii="Open Sans" w:hAnsi="Open Sans" w:cs="Open Sans"/>
          <w:color w:val="000000"/>
        </w:rPr>
        <w:t>En España</w:t>
      </w:r>
      <w:r>
        <w:rPr>
          <w:rFonts w:ascii="Open Sans" w:hAnsi="Open Sans" w:cs="Open Sans"/>
          <w:color w:val="000000"/>
        </w:rPr>
        <w:t xml:space="preserve"> </w:t>
      </w:r>
      <w:r w:rsidR="006928CA">
        <w:rPr>
          <w:rFonts w:ascii="Open Sans" w:hAnsi="Open Sans" w:cs="Open Sans"/>
          <w:color w:val="000000"/>
        </w:rPr>
        <w:t>diez</w:t>
      </w:r>
      <w:r w:rsidRPr="00F64561">
        <w:rPr>
          <w:rFonts w:ascii="Open Sans" w:hAnsi="Open Sans" w:cs="Open Sans"/>
          <w:color w:val="000000"/>
        </w:rPr>
        <w:t xml:space="preserve"> comunidades autónomas presentan datos </w:t>
      </w:r>
      <w:r>
        <w:rPr>
          <w:rFonts w:ascii="Open Sans" w:hAnsi="Open Sans" w:cs="Open Sans"/>
          <w:color w:val="000000"/>
        </w:rPr>
        <w:t xml:space="preserve">mensuales </w:t>
      </w:r>
      <w:r w:rsidR="00A3360F">
        <w:rPr>
          <w:rFonts w:ascii="Open Sans" w:hAnsi="Open Sans" w:cs="Open Sans"/>
          <w:color w:val="000000"/>
        </w:rPr>
        <w:t>negativos</w:t>
      </w:r>
      <w:r w:rsidRPr="00F64561">
        <w:rPr>
          <w:rFonts w:ascii="Open Sans" w:hAnsi="Open Sans" w:cs="Open Sans"/>
          <w:color w:val="000000"/>
        </w:rPr>
        <w:t xml:space="preserve"> en </w:t>
      </w:r>
      <w:r w:rsidR="00955D30">
        <w:rPr>
          <w:rFonts w:ascii="Open Sans" w:hAnsi="Open Sans" w:cs="Open Sans"/>
          <w:color w:val="000000"/>
        </w:rPr>
        <w:t>octubre</w:t>
      </w:r>
      <w:r w:rsidRPr="00F64561">
        <w:rPr>
          <w:rFonts w:ascii="Open Sans" w:hAnsi="Open Sans" w:cs="Open Sans"/>
          <w:color w:val="000000"/>
        </w:rPr>
        <w:t xml:space="preserve"> de 20</w:t>
      </w:r>
      <w:r>
        <w:rPr>
          <w:rFonts w:ascii="Open Sans" w:hAnsi="Open Sans" w:cs="Open Sans"/>
          <w:color w:val="000000"/>
        </w:rPr>
        <w:t>20</w:t>
      </w:r>
      <w:r w:rsidRPr="00F64561">
        <w:rPr>
          <w:rFonts w:ascii="Open Sans" w:hAnsi="Open Sans" w:cs="Open Sans"/>
          <w:color w:val="000000"/>
        </w:rPr>
        <w:t xml:space="preserve">. </w:t>
      </w:r>
      <w:r w:rsidR="00955D30">
        <w:rPr>
          <w:rFonts w:ascii="Open Sans" w:hAnsi="Open Sans" w:cs="Open Sans"/>
          <w:color w:val="000000"/>
        </w:rPr>
        <w:t>Baleares</w:t>
      </w:r>
      <w:r w:rsidR="006928CA" w:rsidRPr="006928CA">
        <w:rPr>
          <w:rFonts w:ascii="Open Sans" w:hAnsi="Open Sans" w:cs="Open Sans"/>
          <w:color w:val="000000"/>
        </w:rPr>
        <w:t xml:space="preserve"> </w:t>
      </w:r>
      <w:r w:rsidR="00986896" w:rsidRPr="00F64561">
        <w:rPr>
          <w:rFonts w:ascii="Open Sans" w:hAnsi="Open Sans" w:cs="Open Sans"/>
          <w:color w:val="000000"/>
        </w:rPr>
        <w:t xml:space="preserve">con un </w:t>
      </w:r>
      <w:r w:rsidR="00A3360F">
        <w:rPr>
          <w:rFonts w:ascii="Open Sans" w:hAnsi="Open Sans" w:cs="Open Sans"/>
          <w:color w:val="000000"/>
        </w:rPr>
        <w:t>descenso</w:t>
      </w:r>
      <w:r w:rsidR="00986896" w:rsidRPr="00F64561">
        <w:rPr>
          <w:rFonts w:ascii="Open Sans" w:hAnsi="Open Sans" w:cs="Open Sans"/>
          <w:color w:val="000000"/>
        </w:rPr>
        <w:t xml:space="preserve"> de</w:t>
      </w:r>
      <w:r w:rsidR="00986896">
        <w:rPr>
          <w:rFonts w:ascii="Open Sans" w:hAnsi="Open Sans" w:cs="Open Sans"/>
          <w:color w:val="000000"/>
        </w:rPr>
        <w:t xml:space="preserve"> </w:t>
      </w:r>
      <w:r w:rsidR="00A3360F">
        <w:rPr>
          <w:rFonts w:ascii="Open Sans" w:hAnsi="Open Sans" w:cs="Open Sans"/>
          <w:color w:val="000000"/>
        </w:rPr>
        <w:t>-</w:t>
      </w:r>
      <w:r w:rsidR="006928CA">
        <w:rPr>
          <w:rFonts w:ascii="Open Sans" w:hAnsi="Open Sans" w:cs="Open Sans"/>
          <w:color w:val="000000"/>
        </w:rPr>
        <w:t>3,</w:t>
      </w:r>
      <w:r w:rsidR="00955D30">
        <w:rPr>
          <w:rFonts w:ascii="Open Sans" w:hAnsi="Open Sans" w:cs="Open Sans"/>
          <w:color w:val="000000"/>
        </w:rPr>
        <w:t>2</w:t>
      </w:r>
      <w:r w:rsidR="00986896" w:rsidRPr="00F64561">
        <w:rPr>
          <w:rFonts w:ascii="Open Sans" w:hAnsi="Open Sans" w:cs="Open Sans"/>
          <w:color w:val="000000"/>
        </w:rPr>
        <w:t xml:space="preserve">% es la región que más </w:t>
      </w:r>
      <w:r w:rsidR="00A3360F">
        <w:rPr>
          <w:rFonts w:ascii="Open Sans" w:hAnsi="Open Sans" w:cs="Open Sans"/>
          <w:color w:val="000000"/>
        </w:rPr>
        <w:t>baja</w:t>
      </w:r>
      <w:r w:rsidR="00986896" w:rsidRPr="00F64561">
        <w:rPr>
          <w:rFonts w:ascii="Open Sans" w:hAnsi="Open Sans" w:cs="Open Sans"/>
          <w:color w:val="000000"/>
        </w:rPr>
        <w:t xml:space="preserve"> de precio</w:t>
      </w:r>
      <w:r w:rsidR="006928CA">
        <w:rPr>
          <w:rFonts w:ascii="Open Sans" w:hAnsi="Open Sans" w:cs="Open Sans"/>
          <w:color w:val="000000"/>
        </w:rPr>
        <w:t xml:space="preserve">. Le siguen, </w:t>
      </w:r>
      <w:r w:rsidR="00955D30" w:rsidRPr="00955D30">
        <w:rPr>
          <w:rFonts w:ascii="Open Sans" w:hAnsi="Open Sans" w:cs="Open Sans"/>
          <w:color w:val="000000"/>
        </w:rPr>
        <w:t>Región de Murcia</w:t>
      </w:r>
      <w:r w:rsidR="00955D30">
        <w:rPr>
          <w:rFonts w:ascii="Open Sans" w:hAnsi="Open Sans" w:cs="Open Sans"/>
          <w:color w:val="000000"/>
        </w:rPr>
        <w:t xml:space="preserve"> (-</w:t>
      </w:r>
      <w:r w:rsidR="001C61AB">
        <w:rPr>
          <w:rFonts w:ascii="Open Sans" w:hAnsi="Open Sans" w:cs="Open Sans"/>
          <w:color w:val="000000"/>
        </w:rPr>
        <w:t>3</w:t>
      </w:r>
      <w:r w:rsidR="00955D30">
        <w:rPr>
          <w:rFonts w:ascii="Open Sans" w:hAnsi="Open Sans" w:cs="Open Sans"/>
          <w:color w:val="000000"/>
        </w:rPr>
        <w:t xml:space="preserve">%), </w:t>
      </w:r>
      <w:r w:rsidR="00955D30" w:rsidRPr="00955D30">
        <w:rPr>
          <w:rFonts w:ascii="Open Sans" w:hAnsi="Open Sans" w:cs="Open Sans"/>
          <w:color w:val="000000"/>
        </w:rPr>
        <w:t>Extremadura</w:t>
      </w:r>
      <w:r w:rsidR="00955D30">
        <w:rPr>
          <w:rFonts w:ascii="Open Sans" w:hAnsi="Open Sans" w:cs="Open Sans"/>
          <w:color w:val="000000"/>
        </w:rPr>
        <w:t xml:space="preserve"> (-</w:t>
      </w:r>
      <w:r w:rsidR="001C61AB">
        <w:rPr>
          <w:rFonts w:ascii="Open Sans" w:hAnsi="Open Sans" w:cs="Open Sans"/>
          <w:color w:val="000000"/>
        </w:rPr>
        <w:t>2,2</w:t>
      </w:r>
      <w:r w:rsidR="00955D30">
        <w:rPr>
          <w:rFonts w:ascii="Open Sans" w:hAnsi="Open Sans" w:cs="Open Sans"/>
          <w:color w:val="000000"/>
        </w:rPr>
        <w:t xml:space="preserve">%), </w:t>
      </w:r>
      <w:r w:rsidR="00955D30" w:rsidRPr="00955D30">
        <w:rPr>
          <w:rFonts w:ascii="Open Sans" w:hAnsi="Open Sans" w:cs="Open Sans"/>
          <w:color w:val="000000"/>
        </w:rPr>
        <w:t>Comunitat Valenciana</w:t>
      </w:r>
      <w:r w:rsidR="00955D30">
        <w:rPr>
          <w:rFonts w:ascii="Open Sans" w:hAnsi="Open Sans" w:cs="Open Sans"/>
          <w:color w:val="000000"/>
        </w:rPr>
        <w:t xml:space="preserve"> (</w:t>
      </w:r>
      <w:r w:rsidR="00A73D4A">
        <w:rPr>
          <w:rFonts w:ascii="Open Sans" w:hAnsi="Open Sans" w:cs="Open Sans"/>
          <w:color w:val="000000"/>
        </w:rPr>
        <w:t>-</w:t>
      </w:r>
      <w:r w:rsidR="001C61AB">
        <w:rPr>
          <w:rFonts w:ascii="Open Sans" w:hAnsi="Open Sans" w:cs="Open Sans"/>
          <w:color w:val="000000"/>
        </w:rPr>
        <w:t>1,9</w:t>
      </w:r>
      <w:r w:rsidR="00955D30">
        <w:rPr>
          <w:rFonts w:ascii="Open Sans" w:hAnsi="Open Sans" w:cs="Open Sans"/>
          <w:color w:val="000000"/>
        </w:rPr>
        <w:t xml:space="preserve">%), </w:t>
      </w:r>
      <w:r w:rsidR="00955D30" w:rsidRPr="00955D30">
        <w:rPr>
          <w:rFonts w:ascii="Open Sans" w:hAnsi="Open Sans" w:cs="Open Sans"/>
          <w:color w:val="000000"/>
        </w:rPr>
        <w:t>Madrid</w:t>
      </w:r>
      <w:r w:rsidR="00955D30">
        <w:rPr>
          <w:rFonts w:ascii="Open Sans" w:hAnsi="Open Sans" w:cs="Open Sans"/>
          <w:color w:val="000000"/>
        </w:rPr>
        <w:t xml:space="preserve"> (-</w:t>
      </w:r>
      <w:r w:rsidR="001C61AB">
        <w:rPr>
          <w:rFonts w:ascii="Open Sans" w:hAnsi="Open Sans" w:cs="Open Sans"/>
          <w:color w:val="000000"/>
        </w:rPr>
        <w:t>1,4</w:t>
      </w:r>
      <w:r w:rsidR="00955D30">
        <w:rPr>
          <w:rFonts w:ascii="Open Sans" w:hAnsi="Open Sans" w:cs="Open Sans"/>
          <w:color w:val="000000"/>
        </w:rPr>
        <w:t>%),</w:t>
      </w:r>
      <w:r w:rsidR="001C61AB">
        <w:rPr>
          <w:rFonts w:ascii="Open Sans" w:hAnsi="Open Sans" w:cs="Open Sans"/>
          <w:color w:val="000000"/>
        </w:rPr>
        <w:t xml:space="preserve"> </w:t>
      </w:r>
      <w:r w:rsidR="00955D30" w:rsidRPr="00955D30">
        <w:rPr>
          <w:rFonts w:ascii="Open Sans" w:hAnsi="Open Sans" w:cs="Open Sans"/>
          <w:color w:val="000000"/>
        </w:rPr>
        <w:t>Cataluña</w:t>
      </w:r>
      <w:r w:rsidR="00955D30">
        <w:rPr>
          <w:rFonts w:ascii="Open Sans" w:hAnsi="Open Sans" w:cs="Open Sans"/>
          <w:color w:val="000000"/>
        </w:rPr>
        <w:t xml:space="preserve"> (-</w:t>
      </w:r>
      <w:r w:rsidR="001C61AB">
        <w:rPr>
          <w:rFonts w:ascii="Open Sans" w:hAnsi="Open Sans" w:cs="Open Sans"/>
          <w:color w:val="000000"/>
        </w:rPr>
        <w:t>0,9</w:t>
      </w:r>
      <w:r w:rsidR="00955D30">
        <w:rPr>
          <w:rFonts w:ascii="Open Sans" w:hAnsi="Open Sans" w:cs="Open Sans"/>
          <w:color w:val="000000"/>
        </w:rPr>
        <w:t xml:space="preserve">%), </w:t>
      </w:r>
      <w:r w:rsidR="00955D30" w:rsidRPr="00955D30">
        <w:rPr>
          <w:rFonts w:ascii="Open Sans" w:hAnsi="Open Sans" w:cs="Open Sans"/>
          <w:color w:val="000000"/>
        </w:rPr>
        <w:t>Castilla y León</w:t>
      </w:r>
      <w:r w:rsidR="00955D30">
        <w:rPr>
          <w:rFonts w:ascii="Open Sans" w:hAnsi="Open Sans" w:cs="Open Sans"/>
          <w:color w:val="000000"/>
        </w:rPr>
        <w:t xml:space="preserve"> (-</w:t>
      </w:r>
      <w:r w:rsidR="001C61AB">
        <w:rPr>
          <w:rFonts w:ascii="Open Sans" w:hAnsi="Open Sans" w:cs="Open Sans"/>
          <w:color w:val="000000"/>
        </w:rPr>
        <w:t>0,8</w:t>
      </w:r>
      <w:r w:rsidR="00955D30">
        <w:rPr>
          <w:rFonts w:ascii="Open Sans" w:hAnsi="Open Sans" w:cs="Open Sans"/>
          <w:color w:val="000000"/>
        </w:rPr>
        <w:t xml:space="preserve">%), </w:t>
      </w:r>
      <w:r w:rsidR="00955D30" w:rsidRPr="00955D30">
        <w:rPr>
          <w:rFonts w:ascii="Open Sans" w:hAnsi="Open Sans" w:cs="Open Sans"/>
          <w:color w:val="000000"/>
        </w:rPr>
        <w:t>País Vasco</w:t>
      </w:r>
      <w:r w:rsidR="00955D30">
        <w:rPr>
          <w:rFonts w:ascii="Open Sans" w:hAnsi="Open Sans" w:cs="Open Sans"/>
          <w:color w:val="000000"/>
        </w:rPr>
        <w:t xml:space="preserve"> (-</w:t>
      </w:r>
      <w:r w:rsidR="001C61AB">
        <w:rPr>
          <w:rFonts w:ascii="Open Sans" w:hAnsi="Open Sans" w:cs="Open Sans"/>
          <w:color w:val="000000"/>
        </w:rPr>
        <w:t>0,4</w:t>
      </w:r>
      <w:r w:rsidR="00955D30">
        <w:rPr>
          <w:rFonts w:ascii="Open Sans" w:hAnsi="Open Sans" w:cs="Open Sans"/>
          <w:color w:val="000000"/>
        </w:rPr>
        <w:t xml:space="preserve">%), </w:t>
      </w:r>
      <w:r w:rsidR="00955D30" w:rsidRPr="00955D30">
        <w:rPr>
          <w:rFonts w:ascii="Open Sans" w:hAnsi="Open Sans" w:cs="Open Sans"/>
          <w:color w:val="000000"/>
        </w:rPr>
        <w:t>Navarra</w:t>
      </w:r>
      <w:r w:rsidR="00955D30">
        <w:rPr>
          <w:rFonts w:ascii="Open Sans" w:hAnsi="Open Sans" w:cs="Open Sans"/>
          <w:color w:val="000000"/>
        </w:rPr>
        <w:t xml:space="preserve"> (-</w:t>
      </w:r>
      <w:r w:rsidR="001C61AB">
        <w:rPr>
          <w:rFonts w:ascii="Open Sans" w:hAnsi="Open Sans" w:cs="Open Sans"/>
          <w:color w:val="000000"/>
        </w:rPr>
        <w:t>0,2</w:t>
      </w:r>
      <w:r w:rsidR="00955D30">
        <w:rPr>
          <w:rFonts w:ascii="Open Sans" w:hAnsi="Open Sans" w:cs="Open Sans"/>
          <w:color w:val="000000"/>
        </w:rPr>
        <w:t xml:space="preserve">%) y </w:t>
      </w:r>
      <w:r w:rsidR="00955D30" w:rsidRPr="00955D30">
        <w:rPr>
          <w:rFonts w:ascii="Open Sans" w:hAnsi="Open Sans" w:cs="Open Sans"/>
          <w:color w:val="000000"/>
        </w:rPr>
        <w:t>Asturias</w:t>
      </w:r>
      <w:r w:rsidR="00955D30">
        <w:rPr>
          <w:rFonts w:ascii="Open Sans" w:hAnsi="Open Sans" w:cs="Open Sans"/>
          <w:color w:val="000000"/>
        </w:rPr>
        <w:t xml:space="preserve"> (-</w:t>
      </w:r>
      <w:r w:rsidR="001C61AB">
        <w:rPr>
          <w:rFonts w:ascii="Open Sans" w:hAnsi="Open Sans" w:cs="Open Sans"/>
          <w:color w:val="000000"/>
        </w:rPr>
        <w:t>0,1</w:t>
      </w:r>
      <w:r w:rsidR="00955D30">
        <w:rPr>
          <w:rFonts w:ascii="Open Sans" w:hAnsi="Open Sans" w:cs="Open Sans"/>
          <w:color w:val="000000"/>
        </w:rPr>
        <w:t>%).</w:t>
      </w:r>
    </w:p>
    <w:p w14:paraId="4779DFC4" w14:textId="77777777" w:rsidR="00955D30" w:rsidRDefault="00955D30" w:rsidP="00955D30">
      <w:pPr>
        <w:spacing w:line="276" w:lineRule="auto"/>
        <w:ind w:right="-574"/>
        <w:jc w:val="both"/>
        <w:rPr>
          <w:rFonts w:ascii="Open Sans" w:hAnsi="Open Sans" w:cs="Open Sans"/>
          <w:color w:val="000000"/>
        </w:rPr>
      </w:pPr>
    </w:p>
    <w:p w14:paraId="20674924" w14:textId="349EC3EB" w:rsidR="001C61AB" w:rsidRDefault="001C79E5" w:rsidP="001C61AB">
      <w:pPr>
        <w:spacing w:line="276" w:lineRule="auto"/>
        <w:ind w:right="-574"/>
        <w:jc w:val="both"/>
        <w:rPr>
          <w:rFonts w:ascii="Open Sans" w:hAnsi="Open Sans" w:cs="Open Sans"/>
          <w:color w:val="000000"/>
        </w:rPr>
      </w:pPr>
      <w:r>
        <w:rPr>
          <w:rFonts w:ascii="Open Sans" w:hAnsi="Open Sans" w:cs="Open Sans"/>
          <w:color w:val="000000"/>
        </w:rPr>
        <w:t xml:space="preserve">Por otro lado, el precio de la vivienda </w:t>
      </w:r>
      <w:r w:rsidR="00A3360F">
        <w:rPr>
          <w:rFonts w:ascii="Open Sans" w:hAnsi="Open Sans" w:cs="Open Sans"/>
          <w:color w:val="000000"/>
        </w:rPr>
        <w:t>incrementa</w:t>
      </w:r>
      <w:r>
        <w:rPr>
          <w:rFonts w:ascii="Open Sans" w:hAnsi="Open Sans" w:cs="Open Sans"/>
          <w:color w:val="000000"/>
        </w:rPr>
        <w:t xml:space="preserve"> en las comunidades de </w:t>
      </w:r>
      <w:r w:rsidR="001C61AB">
        <w:rPr>
          <w:rFonts w:ascii="Open Sans" w:hAnsi="Open Sans" w:cs="Open Sans"/>
          <w:color w:val="000000"/>
        </w:rPr>
        <w:t>La Rioja</w:t>
      </w:r>
      <w:r w:rsidR="006928CA" w:rsidRPr="006928CA">
        <w:rPr>
          <w:rFonts w:ascii="Open Sans" w:hAnsi="Open Sans" w:cs="Open Sans"/>
          <w:color w:val="000000"/>
        </w:rPr>
        <w:t xml:space="preserve"> </w:t>
      </w:r>
      <w:r w:rsidR="00A3360F">
        <w:rPr>
          <w:rFonts w:ascii="Open Sans" w:hAnsi="Open Sans" w:cs="Open Sans"/>
          <w:color w:val="000000"/>
        </w:rPr>
        <w:t>(</w:t>
      </w:r>
      <w:r w:rsidR="001C61AB">
        <w:rPr>
          <w:rFonts w:ascii="Open Sans" w:hAnsi="Open Sans" w:cs="Open Sans"/>
          <w:color w:val="000000"/>
        </w:rPr>
        <w:t>2,6</w:t>
      </w:r>
      <w:r w:rsidR="00A3360F">
        <w:rPr>
          <w:rFonts w:ascii="Open Sans" w:hAnsi="Open Sans" w:cs="Open Sans"/>
          <w:color w:val="000000"/>
        </w:rPr>
        <w:t xml:space="preserve">%), </w:t>
      </w:r>
      <w:r w:rsidR="001C61AB" w:rsidRPr="001C61AB">
        <w:rPr>
          <w:rFonts w:ascii="Open Sans" w:hAnsi="Open Sans" w:cs="Open Sans"/>
          <w:color w:val="000000"/>
        </w:rPr>
        <w:t>Aragón</w:t>
      </w:r>
      <w:r w:rsidR="001C61AB">
        <w:rPr>
          <w:rFonts w:ascii="Open Sans" w:hAnsi="Open Sans" w:cs="Open Sans"/>
          <w:color w:val="000000"/>
        </w:rPr>
        <w:t xml:space="preserve"> (1,7%), </w:t>
      </w:r>
      <w:r w:rsidR="001C61AB" w:rsidRPr="001C61AB">
        <w:rPr>
          <w:rFonts w:ascii="Open Sans" w:hAnsi="Open Sans" w:cs="Open Sans"/>
          <w:color w:val="000000"/>
        </w:rPr>
        <w:t>Galicia</w:t>
      </w:r>
      <w:r w:rsidR="001C61AB">
        <w:rPr>
          <w:rFonts w:ascii="Open Sans" w:hAnsi="Open Sans" w:cs="Open Sans"/>
          <w:color w:val="000000"/>
        </w:rPr>
        <w:t xml:space="preserve"> (0,7%), </w:t>
      </w:r>
      <w:r w:rsidR="001C61AB" w:rsidRPr="001C61AB">
        <w:rPr>
          <w:rFonts w:ascii="Open Sans" w:hAnsi="Open Sans" w:cs="Open Sans"/>
          <w:color w:val="000000"/>
        </w:rPr>
        <w:t>Castilla-La Mancha</w:t>
      </w:r>
      <w:r w:rsidR="001C61AB">
        <w:rPr>
          <w:rFonts w:ascii="Open Sans" w:hAnsi="Open Sans" w:cs="Open Sans"/>
          <w:color w:val="000000"/>
        </w:rPr>
        <w:t xml:space="preserve"> (0,5%), </w:t>
      </w:r>
      <w:r w:rsidR="001C61AB" w:rsidRPr="001C61AB">
        <w:rPr>
          <w:rFonts w:ascii="Open Sans" w:hAnsi="Open Sans" w:cs="Open Sans"/>
          <w:color w:val="000000"/>
        </w:rPr>
        <w:t>Canarias</w:t>
      </w:r>
      <w:r w:rsidR="001C61AB">
        <w:rPr>
          <w:rFonts w:ascii="Open Sans" w:hAnsi="Open Sans" w:cs="Open Sans"/>
          <w:color w:val="000000"/>
        </w:rPr>
        <w:t xml:space="preserve"> (0,2%) y </w:t>
      </w:r>
      <w:r w:rsidR="001C61AB" w:rsidRPr="001C61AB">
        <w:rPr>
          <w:rFonts w:ascii="Open Sans" w:hAnsi="Open Sans" w:cs="Open Sans"/>
          <w:color w:val="000000"/>
        </w:rPr>
        <w:t>Andalucía</w:t>
      </w:r>
      <w:r w:rsidR="001C61AB">
        <w:rPr>
          <w:rFonts w:ascii="Open Sans" w:hAnsi="Open Sans" w:cs="Open Sans"/>
          <w:color w:val="000000"/>
        </w:rPr>
        <w:t xml:space="preserve"> (0,1%). Por otro lado, Cantabria es la única comunidad que mantiene el precio del mes anterior y mantiene igual su variación mensual.</w:t>
      </w:r>
    </w:p>
    <w:p w14:paraId="59B4DEDB" w14:textId="0C22CE6A" w:rsidR="0047737D" w:rsidRDefault="001C61AB" w:rsidP="0029335C">
      <w:pPr>
        <w:pStyle w:val="NormalWeb"/>
        <w:shd w:val="clear" w:color="auto" w:fill="FFFFFF"/>
        <w:spacing w:line="276" w:lineRule="auto"/>
        <w:ind w:right="-574"/>
        <w:jc w:val="both"/>
        <w:rPr>
          <w:rFonts w:ascii="Open Sans" w:hAnsi="Open Sans" w:cs="Open Sans"/>
          <w:color w:val="000000"/>
        </w:rPr>
      </w:pPr>
      <w:r>
        <w:rPr>
          <w:rFonts w:ascii="Open Sans" w:hAnsi="Open Sans" w:cs="Open Sans"/>
          <w:color w:val="000000"/>
        </w:rPr>
        <w:t>E</w:t>
      </w:r>
      <w:r w:rsidR="00F248C4" w:rsidRPr="00E232BD">
        <w:rPr>
          <w:rFonts w:ascii="Open Sans" w:hAnsi="Open Sans" w:cs="Open Sans"/>
          <w:color w:val="000000"/>
        </w:rPr>
        <w:t xml:space="preserve">n cuanto al ranking de Comunidades Autónomas (CC.AA.) con el precio de la vivienda </w:t>
      </w:r>
      <w:r w:rsidR="00F248C4">
        <w:rPr>
          <w:rFonts w:ascii="Open Sans" w:hAnsi="Open Sans" w:cs="Open Sans"/>
          <w:color w:val="000000"/>
        </w:rPr>
        <w:t xml:space="preserve">más caras para alquilar una vivienda en España, </w:t>
      </w:r>
      <w:r w:rsidR="00B80FB1">
        <w:rPr>
          <w:rFonts w:ascii="Open Sans" w:hAnsi="Open Sans" w:cs="Open Sans"/>
          <w:color w:val="000000"/>
        </w:rPr>
        <w:t xml:space="preserve">en los primeros lugares se encuentran </w:t>
      </w:r>
      <w:r w:rsidR="00F248C4" w:rsidRPr="00467BFA">
        <w:rPr>
          <w:rFonts w:ascii="Open Sans" w:hAnsi="Open Sans" w:cs="Open Sans"/>
          <w:color w:val="000000"/>
        </w:rPr>
        <w:t>Madrid</w:t>
      </w:r>
      <w:r w:rsidR="00ED1A5B">
        <w:rPr>
          <w:rFonts w:ascii="Open Sans" w:hAnsi="Open Sans" w:cs="Open Sans"/>
          <w:color w:val="000000"/>
        </w:rPr>
        <w:t xml:space="preserve"> y</w:t>
      </w:r>
      <w:r w:rsidR="00F248C4" w:rsidRPr="00467BFA">
        <w:rPr>
          <w:rFonts w:ascii="Open Sans" w:hAnsi="Open Sans" w:cs="Open Sans"/>
          <w:color w:val="000000"/>
        </w:rPr>
        <w:t xml:space="preserve"> </w:t>
      </w:r>
      <w:r w:rsidR="00F248C4">
        <w:rPr>
          <w:rFonts w:ascii="Open Sans" w:hAnsi="Open Sans" w:cs="Open Sans"/>
          <w:color w:val="000000"/>
        </w:rPr>
        <w:t>Cataluña</w:t>
      </w:r>
      <w:r w:rsidR="00ED1A5B">
        <w:rPr>
          <w:rFonts w:ascii="Open Sans" w:hAnsi="Open Sans" w:cs="Open Sans"/>
          <w:color w:val="000000"/>
        </w:rPr>
        <w:t>,</w:t>
      </w:r>
      <w:r w:rsidR="00F248C4" w:rsidRPr="00467BFA">
        <w:rPr>
          <w:rFonts w:ascii="Open Sans" w:hAnsi="Open Sans" w:cs="Open Sans"/>
          <w:color w:val="000000"/>
        </w:rPr>
        <w:t xml:space="preserve"> </w:t>
      </w:r>
      <w:r w:rsidR="00ED1A5B">
        <w:rPr>
          <w:rFonts w:ascii="Open Sans" w:hAnsi="Open Sans" w:cs="Open Sans"/>
          <w:color w:val="000000"/>
        </w:rPr>
        <w:t xml:space="preserve">con los </w:t>
      </w:r>
      <w:r w:rsidR="00ED1A5B" w:rsidRPr="002E03E2">
        <w:rPr>
          <w:rFonts w:ascii="Open Sans" w:hAnsi="Open Sans" w:cs="Open Sans"/>
          <w:color w:val="000000"/>
        </w:rPr>
        <w:t xml:space="preserve">precios </w:t>
      </w:r>
      <w:r w:rsidR="00ED1A5B">
        <w:rPr>
          <w:rFonts w:ascii="Open Sans" w:hAnsi="Open Sans" w:cs="Open Sans"/>
          <w:color w:val="000000"/>
        </w:rPr>
        <w:t>de</w:t>
      </w:r>
      <w:r w:rsidR="00ED1A5B" w:rsidRPr="002E03E2">
        <w:rPr>
          <w:rFonts w:ascii="Open Sans" w:hAnsi="Open Sans" w:cs="Open Sans"/>
          <w:color w:val="000000"/>
        </w:rPr>
        <w:t xml:space="preserve"> </w:t>
      </w:r>
      <w:r w:rsidR="003F1682">
        <w:rPr>
          <w:rFonts w:ascii="Open Sans" w:hAnsi="Open Sans" w:cs="Open Sans"/>
          <w:color w:val="000000"/>
        </w:rPr>
        <w:t>14,</w:t>
      </w:r>
      <w:r w:rsidR="00591752">
        <w:rPr>
          <w:rFonts w:ascii="Open Sans" w:hAnsi="Open Sans" w:cs="Open Sans"/>
          <w:color w:val="000000"/>
        </w:rPr>
        <w:t xml:space="preserve">51 </w:t>
      </w:r>
      <w:r w:rsidR="00F248C4" w:rsidRPr="00467BFA">
        <w:rPr>
          <w:rFonts w:ascii="Open Sans" w:hAnsi="Open Sans" w:cs="Open Sans"/>
          <w:color w:val="000000"/>
        </w:rPr>
        <w:t>€/m</w:t>
      </w:r>
      <w:r w:rsidR="00F248C4" w:rsidRPr="00FC4BCC">
        <w:rPr>
          <w:rFonts w:ascii="Open Sans" w:hAnsi="Open Sans" w:cs="Open Sans"/>
          <w:color w:val="000000"/>
          <w:vertAlign w:val="superscript"/>
        </w:rPr>
        <w:t>2</w:t>
      </w:r>
      <w:r w:rsidR="00F248C4" w:rsidRPr="00467BFA">
        <w:rPr>
          <w:rFonts w:ascii="Open Sans" w:hAnsi="Open Sans" w:cs="Open Sans"/>
          <w:color w:val="000000"/>
        </w:rPr>
        <w:t xml:space="preserve"> </w:t>
      </w:r>
      <w:r w:rsidR="00F248C4" w:rsidRPr="00A1719F">
        <w:rPr>
          <w:rFonts w:ascii="Open Sans" w:hAnsi="Open Sans" w:cs="Open Sans"/>
          <w:color w:val="000000"/>
        </w:rPr>
        <w:t>al mes</w:t>
      </w:r>
      <w:r w:rsidR="00F248C4" w:rsidRPr="00467BFA">
        <w:rPr>
          <w:rFonts w:ascii="Open Sans" w:hAnsi="Open Sans" w:cs="Open Sans"/>
          <w:color w:val="000000"/>
        </w:rPr>
        <w:t xml:space="preserve"> y los </w:t>
      </w:r>
      <w:r w:rsidR="00B73D94">
        <w:rPr>
          <w:rFonts w:ascii="Open Sans" w:hAnsi="Open Sans" w:cs="Open Sans"/>
          <w:color w:val="000000"/>
        </w:rPr>
        <w:t>14,</w:t>
      </w:r>
      <w:r w:rsidR="00591752">
        <w:rPr>
          <w:rFonts w:ascii="Open Sans" w:hAnsi="Open Sans" w:cs="Open Sans"/>
          <w:color w:val="000000"/>
        </w:rPr>
        <w:t>28</w:t>
      </w:r>
      <w:r w:rsidR="00F248C4">
        <w:rPr>
          <w:rFonts w:ascii="Open Sans" w:hAnsi="Open Sans" w:cs="Open Sans"/>
          <w:color w:val="000000"/>
        </w:rPr>
        <w:t xml:space="preserve"> </w:t>
      </w:r>
      <w:r w:rsidR="00F248C4" w:rsidRPr="00467BFA">
        <w:rPr>
          <w:rFonts w:ascii="Open Sans" w:hAnsi="Open Sans" w:cs="Open Sans"/>
          <w:color w:val="000000"/>
        </w:rPr>
        <w:t>€/m</w:t>
      </w:r>
      <w:r w:rsidR="00F248C4" w:rsidRPr="00FC4BCC">
        <w:rPr>
          <w:rFonts w:ascii="Open Sans" w:hAnsi="Open Sans" w:cs="Open Sans"/>
          <w:color w:val="000000"/>
          <w:vertAlign w:val="superscript"/>
        </w:rPr>
        <w:t>2</w:t>
      </w:r>
      <w:r w:rsidR="00F248C4" w:rsidRPr="00467BFA">
        <w:rPr>
          <w:rFonts w:ascii="Open Sans" w:hAnsi="Open Sans" w:cs="Open Sans"/>
          <w:color w:val="000000"/>
        </w:rPr>
        <w:t xml:space="preserve"> </w:t>
      </w:r>
      <w:r w:rsidR="00F248C4" w:rsidRPr="00A1719F">
        <w:rPr>
          <w:rFonts w:ascii="Open Sans" w:hAnsi="Open Sans" w:cs="Open Sans"/>
          <w:color w:val="000000"/>
        </w:rPr>
        <w:t>al mes</w:t>
      </w:r>
      <w:r w:rsidR="00ED1A5B">
        <w:rPr>
          <w:rFonts w:ascii="Open Sans" w:hAnsi="Open Sans" w:cs="Open Sans"/>
          <w:color w:val="000000"/>
        </w:rPr>
        <w:t>, respectivamente.</w:t>
      </w:r>
      <w:r w:rsidR="00F248C4">
        <w:rPr>
          <w:rFonts w:ascii="Open Sans" w:hAnsi="Open Sans" w:cs="Open Sans"/>
          <w:color w:val="000000"/>
        </w:rPr>
        <w:t xml:space="preserve"> </w:t>
      </w:r>
      <w:r w:rsidR="0029335C">
        <w:rPr>
          <w:rFonts w:ascii="Open Sans" w:hAnsi="Open Sans" w:cs="Open Sans"/>
          <w:color w:val="000000"/>
        </w:rPr>
        <w:t xml:space="preserve">Le siguen, </w:t>
      </w:r>
      <w:r w:rsidR="0029335C" w:rsidRPr="0029335C">
        <w:rPr>
          <w:rFonts w:ascii="Open Sans" w:hAnsi="Open Sans" w:cs="Open Sans"/>
          <w:color w:val="000000"/>
        </w:rPr>
        <w:t>País Vasco</w:t>
      </w:r>
      <w:r w:rsidR="0029335C">
        <w:rPr>
          <w:rFonts w:ascii="Open Sans" w:hAnsi="Open Sans" w:cs="Open Sans"/>
          <w:color w:val="000000"/>
        </w:rPr>
        <w:t xml:space="preserve"> con </w:t>
      </w:r>
      <w:r w:rsidR="00F6414F">
        <w:rPr>
          <w:rFonts w:ascii="Open Sans" w:hAnsi="Open Sans" w:cs="Open Sans"/>
          <w:color w:val="000000"/>
        </w:rPr>
        <w:t>13,</w:t>
      </w:r>
      <w:r w:rsidR="00591752">
        <w:rPr>
          <w:rFonts w:ascii="Open Sans" w:hAnsi="Open Sans" w:cs="Open Sans"/>
          <w:color w:val="000000"/>
        </w:rPr>
        <w:t>39</w:t>
      </w:r>
      <w:r w:rsidR="00A3360F">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29335C" w:rsidRPr="0029335C">
        <w:rPr>
          <w:rFonts w:ascii="Open Sans" w:hAnsi="Open Sans" w:cs="Open Sans"/>
          <w:color w:val="000000"/>
        </w:rPr>
        <w:t>Baleares</w:t>
      </w:r>
      <w:r w:rsidR="0029335C">
        <w:rPr>
          <w:rFonts w:ascii="Open Sans" w:hAnsi="Open Sans" w:cs="Open Sans"/>
          <w:color w:val="000000"/>
        </w:rPr>
        <w:t xml:space="preserve"> con</w:t>
      </w:r>
      <w:r w:rsidR="0029335C" w:rsidRPr="00467BFA">
        <w:rPr>
          <w:rFonts w:ascii="Open Sans" w:hAnsi="Open Sans" w:cs="Open Sans"/>
          <w:color w:val="000000"/>
        </w:rPr>
        <w:t xml:space="preserve"> </w:t>
      </w:r>
      <w:r w:rsidR="00591752">
        <w:rPr>
          <w:rFonts w:ascii="Open Sans" w:hAnsi="Open Sans" w:cs="Open Sans"/>
          <w:color w:val="000000"/>
        </w:rPr>
        <w:t>11,64</w:t>
      </w:r>
      <w:r w:rsidR="003F1682">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591752" w:rsidRPr="0029335C">
        <w:rPr>
          <w:rFonts w:ascii="Open Sans" w:hAnsi="Open Sans" w:cs="Open Sans"/>
          <w:color w:val="000000"/>
        </w:rPr>
        <w:t>Navarra</w:t>
      </w:r>
      <w:r w:rsidR="00591752">
        <w:rPr>
          <w:rFonts w:ascii="Open Sans" w:hAnsi="Open Sans" w:cs="Open Sans"/>
          <w:color w:val="000000"/>
        </w:rPr>
        <w:t xml:space="preserve"> </w:t>
      </w:r>
      <w:r w:rsidR="0029335C">
        <w:rPr>
          <w:rFonts w:ascii="Open Sans" w:hAnsi="Open Sans" w:cs="Open Sans"/>
          <w:color w:val="000000"/>
        </w:rPr>
        <w:t>con</w:t>
      </w:r>
      <w:r w:rsidR="0029335C" w:rsidRPr="00467BFA">
        <w:rPr>
          <w:rFonts w:ascii="Open Sans" w:hAnsi="Open Sans" w:cs="Open Sans"/>
          <w:color w:val="000000"/>
        </w:rPr>
        <w:t xml:space="preserve"> </w:t>
      </w:r>
      <w:r w:rsidR="00A3360F">
        <w:rPr>
          <w:rFonts w:ascii="Open Sans" w:hAnsi="Open Sans" w:cs="Open Sans"/>
          <w:color w:val="000000"/>
        </w:rPr>
        <w:t>9,</w:t>
      </w:r>
      <w:r w:rsidR="00591752">
        <w:rPr>
          <w:rFonts w:ascii="Open Sans" w:hAnsi="Open Sans" w:cs="Open Sans"/>
          <w:color w:val="000000"/>
        </w:rPr>
        <w:t>74</w:t>
      </w:r>
      <w:r w:rsidR="0029335C">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591752" w:rsidRPr="0029335C">
        <w:rPr>
          <w:rFonts w:ascii="Open Sans" w:hAnsi="Open Sans" w:cs="Open Sans"/>
          <w:color w:val="000000"/>
        </w:rPr>
        <w:t>Canarias</w:t>
      </w:r>
      <w:r w:rsidR="00591752">
        <w:rPr>
          <w:rFonts w:ascii="Open Sans" w:hAnsi="Open Sans" w:cs="Open Sans"/>
          <w:color w:val="000000"/>
        </w:rPr>
        <w:t xml:space="preserve"> </w:t>
      </w:r>
      <w:r w:rsidR="0029335C">
        <w:rPr>
          <w:rFonts w:ascii="Open Sans" w:hAnsi="Open Sans" w:cs="Open Sans"/>
          <w:color w:val="000000"/>
        </w:rPr>
        <w:t>con</w:t>
      </w:r>
      <w:r w:rsidR="0029335C" w:rsidRPr="00467BFA">
        <w:rPr>
          <w:rFonts w:ascii="Open Sans" w:hAnsi="Open Sans" w:cs="Open Sans"/>
          <w:color w:val="000000"/>
        </w:rPr>
        <w:t xml:space="preserve"> </w:t>
      </w:r>
      <w:r w:rsidR="00F6414F">
        <w:rPr>
          <w:rFonts w:ascii="Open Sans" w:hAnsi="Open Sans" w:cs="Open Sans"/>
          <w:color w:val="000000"/>
        </w:rPr>
        <w:t>9,</w:t>
      </w:r>
      <w:r w:rsidR="00591752">
        <w:rPr>
          <w:rFonts w:ascii="Open Sans" w:hAnsi="Open Sans" w:cs="Open Sans"/>
          <w:color w:val="000000"/>
        </w:rPr>
        <w:t>67</w:t>
      </w:r>
      <w:r w:rsidR="006F6BF2">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B73D94" w:rsidRPr="0029335C">
        <w:rPr>
          <w:rFonts w:ascii="Open Sans" w:hAnsi="Open Sans" w:cs="Open Sans"/>
          <w:color w:val="000000"/>
        </w:rPr>
        <w:t>Cantabria</w:t>
      </w:r>
      <w:r w:rsidR="00B73D94">
        <w:rPr>
          <w:rFonts w:ascii="Open Sans" w:hAnsi="Open Sans" w:cs="Open Sans"/>
          <w:color w:val="000000"/>
        </w:rPr>
        <w:t xml:space="preserve"> </w:t>
      </w:r>
      <w:r w:rsidR="003F1682">
        <w:rPr>
          <w:rFonts w:ascii="Open Sans" w:hAnsi="Open Sans" w:cs="Open Sans"/>
          <w:color w:val="000000"/>
        </w:rPr>
        <w:t>8,</w:t>
      </w:r>
      <w:r w:rsidR="00591752">
        <w:rPr>
          <w:rFonts w:ascii="Open Sans" w:hAnsi="Open Sans" w:cs="Open Sans"/>
          <w:color w:val="000000"/>
        </w:rPr>
        <w:t>69</w:t>
      </w:r>
      <w:r w:rsidR="00B73D94">
        <w:rPr>
          <w:rFonts w:ascii="Open Sans" w:hAnsi="Open Sans" w:cs="Open Sans"/>
          <w:color w:val="000000"/>
        </w:rPr>
        <w:t xml:space="preserve"> </w:t>
      </w:r>
      <w:r w:rsidR="00B73D94" w:rsidRPr="00467BFA">
        <w:rPr>
          <w:rFonts w:ascii="Open Sans" w:hAnsi="Open Sans" w:cs="Open Sans"/>
          <w:color w:val="000000"/>
        </w:rPr>
        <w:t>€/m</w:t>
      </w:r>
      <w:r w:rsidR="00B73D94" w:rsidRPr="00FC4BCC">
        <w:rPr>
          <w:rFonts w:ascii="Open Sans" w:hAnsi="Open Sans" w:cs="Open Sans"/>
          <w:color w:val="000000"/>
          <w:vertAlign w:val="superscript"/>
        </w:rPr>
        <w:t>2</w:t>
      </w:r>
      <w:r w:rsidR="00B73D94" w:rsidRPr="00467BFA">
        <w:rPr>
          <w:rFonts w:ascii="Open Sans" w:hAnsi="Open Sans" w:cs="Open Sans"/>
          <w:color w:val="000000"/>
        </w:rPr>
        <w:t xml:space="preserve"> </w:t>
      </w:r>
      <w:r w:rsidR="00B73D94" w:rsidRPr="00A1719F">
        <w:rPr>
          <w:rFonts w:ascii="Open Sans" w:hAnsi="Open Sans" w:cs="Open Sans"/>
          <w:color w:val="000000"/>
        </w:rPr>
        <w:t>al mes</w:t>
      </w:r>
      <w:r w:rsidR="00B73D94">
        <w:rPr>
          <w:rFonts w:ascii="Open Sans" w:hAnsi="Open Sans" w:cs="Open Sans"/>
          <w:color w:val="000000"/>
        </w:rPr>
        <w:t xml:space="preserve">, </w:t>
      </w:r>
      <w:r w:rsidR="00591752" w:rsidRPr="0029335C">
        <w:rPr>
          <w:rFonts w:ascii="Open Sans" w:hAnsi="Open Sans" w:cs="Open Sans"/>
          <w:color w:val="000000"/>
        </w:rPr>
        <w:t>Andalucía</w:t>
      </w:r>
      <w:r w:rsidR="00591752">
        <w:rPr>
          <w:rFonts w:ascii="Open Sans" w:hAnsi="Open Sans" w:cs="Open Sans"/>
          <w:color w:val="000000"/>
        </w:rPr>
        <w:t xml:space="preserve"> </w:t>
      </w:r>
      <w:r w:rsidR="0029335C">
        <w:rPr>
          <w:rFonts w:ascii="Open Sans" w:hAnsi="Open Sans" w:cs="Open Sans"/>
          <w:color w:val="000000"/>
        </w:rPr>
        <w:t>8,</w:t>
      </w:r>
      <w:r w:rsidR="00591752">
        <w:rPr>
          <w:rFonts w:ascii="Open Sans" w:hAnsi="Open Sans" w:cs="Open Sans"/>
          <w:color w:val="000000"/>
        </w:rPr>
        <w:t>55</w:t>
      </w:r>
      <w:r w:rsidR="00A02A6D">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591752" w:rsidRPr="0029335C">
        <w:rPr>
          <w:rFonts w:ascii="Open Sans" w:hAnsi="Open Sans" w:cs="Open Sans"/>
          <w:color w:val="000000"/>
        </w:rPr>
        <w:t>Aragón</w:t>
      </w:r>
      <w:r w:rsidR="00591752">
        <w:rPr>
          <w:rFonts w:ascii="Open Sans" w:hAnsi="Open Sans" w:cs="Open Sans"/>
          <w:color w:val="000000"/>
        </w:rPr>
        <w:t xml:space="preserve"> </w:t>
      </w:r>
      <w:r w:rsidR="0029335C">
        <w:rPr>
          <w:rFonts w:ascii="Open Sans" w:hAnsi="Open Sans" w:cs="Open Sans"/>
          <w:color w:val="000000"/>
        </w:rPr>
        <w:t>con</w:t>
      </w:r>
      <w:r w:rsidR="0029335C" w:rsidRPr="00467BFA">
        <w:rPr>
          <w:rFonts w:ascii="Open Sans" w:hAnsi="Open Sans" w:cs="Open Sans"/>
          <w:color w:val="000000"/>
        </w:rPr>
        <w:t xml:space="preserve"> </w:t>
      </w:r>
      <w:r w:rsidR="0029335C">
        <w:rPr>
          <w:rFonts w:ascii="Open Sans" w:hAnsi="Open Sans" w:cs="Open Sans"/>
          <w:color w:val="000000"/>
        </w:rPr>
        <w:t>8,</w:t>
      </w:r>
      <w:r w:rsidR="003F1682">
        <w:rPr>
          <w:rFonts w:ascii="Open Sans" w:hAnsi="Open Sans" w:cs="Open Sans"/>
          <w:color w:val="000000"/>
        </w:rPr>
        <w:t>5</w:t>
      </w:r>
      <w:r w:rsidR="00591752">
        <w:rPr>
          <w:rFonts w:ascii="Open Sans" w:hAnsi="Open Sans" w:cs="Open Sans"/>
          <w:color w:val="000000"/>
        </w:rPr>
        <w:t>0</w:t>
      </w:r>
      <w:r w:rsidR="00A02A6D">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591752" w:rsidRPr="0029335C">
        <w:rPr>
          <w:rFonts w:ascii="Open Sans" w:hAnsi="Open Sans" w:cs="Open Sans"/>
          <w:color w:val="000000"/>
        </w:rPr>
        <w:t>Comunitat Valenciana</w:t>
      </w:r>
      <w:r w:rsidR="00591752">
        <w:rPr>
          <w:rFonts w:ascii="Open Sans" w:hAnsi="Open Sans" w:cs="Open Sans"/>
          <w:color w:val="000000"/>
        </w:rPr>
        <w:t xml:space="preserve"> </w:t>
      </w:r>
      <w:r w:rsidR="0029335C">
        <w:rPr>
          <w:rFonts w:ascii="Open Sans" w:hAnsi="Open Sans" w:cs="Open Sans"/>
          <w:color w:val="000000"/>
        </w:rPr>
        <w:t>con</w:t>
      </w:r>
      <w:r w:rsidR="0029335C" w:rsidRPr="00467BFA">
        <w:rPr>
          <w:rFonts w:ascii="Open Sans" w:hAnsi="Open Sans" w:cs="Open Sans"/>
          <w:color w:val="000000"/>
        </w:rPr>
        <w:t xml:space="preserve"> </w:t>
      </w:r>
      <w:r w:rsidR="0029335C">
        <w:rPr>
          <w:rFonts w:ascii="Open Sans" w:hAnsi="Open Sans" w:cs="Open Sans"/>
          <w:color w:val="000000"/>
        </w:rPr>
        <w:t>8,</w:t>
      </w:r>
      <w:r w:rsidR="00591752">
        <w:rPr>
          <w:rFonts w:ascii="Open Sans" w:hAnsi="Open Sans" w:cs="Open Sans"/>
          <w:color w:val="000000"/>
        </w:rPr>
        <w:t>39</w:t>
      </w:r>
      <w:r w:rsidR="0029335C">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29335C" w:rsidRPr="0029335C">
        <w:rPr>
          <w:rFonts w:ascii="Open Sans" w:hAnsi="Open Sans" w:cs="Open Sans"/>
          <w:color w:val="000000"/>
        </w:rPr>
        <w:t>Asturias</w:t>
      </w:r>
      <w:r w:rsidR="0029335C">
        <w:rPr>
          <w:rFonts w:ascii="Open Sans" w:hAnsi="Open Sans" w:cs="Open Sans"/>
          <w:color w:val="000000"/>
        </w:rPr>
        <w:t xml:space="preserve"> con</w:t>
      </w:r>
      <w:r w:rsidR="0029335C" w:rsidRPr="00467BFA">
        <w:rPr>
          <w:rFonts w:ascii="Open Sans" w:hAnsi="Open Sans" w:cs="Open Sans"/>
          <w:color w:val="000000"/>
        </w:rPr>
        <w:t xml:space="preserve"> </w:t>
      </w:r>
      <w:r w:rsidR="0029335C">
        <w:rPr>
          <w:rFonts w:ascii="Open Sans" w:hAnsi="Open Sans" w:cs="Open Sans"/>
          <w:color w:val="000000"/>
        </w:rPr>
        <w:t>7,</w:t>
      </w:r>
      <w:r w:rsidR="00591752">
        <w:rPr>
          <w:rFonts w:ascii="Open Sans" w:hAnsi="Open Sans" w:cs="Open Sans"/>
          <w:color w:val="000000"/>
        </w:rPr>
        <w:t>75</w:t>
      </w:r>
      <w:r w:rsidR="001C79E5">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591752" w:rsidRPr="0029335C">
        <w:rPr>
          <w:rFonts w:ascii="Open Sans" w:hAnsi="Open Sans" w:cs="Open Sans"/>
          <w:color w:val="000000"/>
        </w:rPr>
        <w:t>Galicia</w:t>
      </w:r>
      <w:r w:rsidR="00591752">
        <w:rPr>
          <w:rFonts w:ascii="Open Sans" w:hAnsi="Open Sans" w:cs="Open Sans"/>
          <w:color w:val="000000"/>
        </w:rPr>
        <w:t xml:space="preserve"> </w:t>
      </w:r>
      <w:r w:rsidR="0029335C">
        <w:rPr>
          <w:rFonts w:ascii="Open Sans" w:hAnsi="Open Sans" w:cs="Open Sans"/>
          <w:color w:val="000000"/>
        </w:rPr>
        <w:t>con</w:t>
      </w:r>
      <w:r w:rsidR="0029335C" w:rsidRPr="00467BFA">
        <w:rPr>
          <w:rFonts w:ascii="Open Sans" w:hAnsi="Open Sans" w:cs="Open Sans"/>
          <w:color w:val="000000"/>
        </w:rPr>
        <w:t xml:space="preserve"> </w:t>
      </w:r>
      <w:r w:rsidR="001C79E5">
        <w:rPr>
          <w:rFonts w:ascii="Open Sans" w:hAnsi="Open Sans" w:cs="Open Sans"/>
          <w:color w:val="000000"/>
        </w:rPr>
        <w:t>7,</w:t>
      </w:r>
      <w:r w:rsidR="00591752">
        <w:rPr>
          <w:rFonts w:ascii="Open Sans" w:hAnsi="Open Sans" w:cs="Open Sans"/>
          <w:color w:val="000000"/>
        </w:rPr>
        <w:t>10</w:t>
      </w:r>
      <w:r w:rsidR="00F6414F">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B73D94" w:rsidRPr="0029335C">
        <w:rPr>
          <w:rFonts w:ascii="Open Sans" w:hAnsi="Open Sans" w:cs="Open Sans"/>
          <w:color w:val="000000"/>
        </w:rPr>
        <w:t>Castilla y León</w:t>
      </w:r>
      <w:r w:rsidR="00B73D94">
        <w:rPr>
          <w:rFonts w:ascii="Open Sans" w:hAnsi="Open Sans" w:cs="Open Sans"/>
          <w:color w:val="000000"/>
        </w:rPr>
        <w:t xml:space="preserve"> </w:t>
      </w:r>
      <w:r w:rsidR="0029335C">
        <w:rPr>
          <w:rFonts w:ascii="Open Sans" w:hAnsi="Open Sans" w:cs="Open Sans"/>
          <w:color w:val="000000"/>
        </w:rPr>
        <w:t>con</w:t>
      </w:r>
      <w:r w:rsidR="0029335C" w:rsidRPr="00467BFA">
        <w:rPr>
          <w:rFonts w:ascii="Open Sans" w:hAnsi="Open Sans" w:cs="Open Sans"/>
          <w:color w:val="000000"/>
        </w:rPr>
        <w:t xml:space="preserve"> </w:t>
      </w:r>
      <w:r w:rsidR="001C79E5">
        <w:rPr>
          <w:rFonts w:ascii="Open Sans" w:hAnsi="Open Sans" w:cs="Open Sans"/>
          <w:color w:val="000000"/>
        </w:rPr>
        <w:t>7,</w:t>
      </w:r>
      <w:r w:rsidR="00591752">
        <w:rPr>
          <w:rFonts w:ascii="Open Sans" w:hAnsi="Open Sans" w:cs="Open Sans"/>
          <w:color w:val="000000"/>
        </w:rPr>
        <w:t xml:space="preserve">09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w:t>
      </w:r>
      <w:r w:rsidR="00E86FC6">
        <w:rPr>
          <w:rFonts w:ascii="Open Sans" w:hAnsi="Open Sans" w:cs="Open Sans"/>
          <w:color w:val="000000"/>
        </w:rPr>
        <w:t xml:space="preserve"> </w:t>
      </w:r>
      <w:r w:rsidR="0029335C" w:rsidRPr="0029335C">
        <w:rPr>
          <w:rFonts w:ascii="Open Sans" w:hAnsi="Open Sans" w:cs="Open Sans"/>
          <w:color w:val="000000"/>
        </w:rPr>
        <w:t xml:space="preserve">La </w:t>
      </w:r>
      <w:r w:rsidR="00F6414F" w:rsidRPr="0029335C">
        <w:rPr>
          <w:rFonts w:ascii="Open Sans" w:hAnsi="Open Sans" w:cs="Open Sans"/>
          <w:color w:val="000000"/>
        </w:rPr>
        <w:t>Rioja</w:t>
      </w:r>
      <w:r w:rsidR="00F6414F">
        <w:rPr>
          <w:rFonts w:ascii="Open Sans" w:hAnsi="Open Sans" w:cs="Open Sans"/>
          <w:color w:val="000000"/>
        </w:rPr>
        <w:t xml:space="preserve"> </w:t>
      </w:r>
      <w:r w:rsidR="0029335C">
        <w:rPr>
          <w:rFonts w:ascii="Open Sans" w:hAnsi="Open Sans" w:cs="Open Sans"/>
          <w:color w:val="000000"/>
        </w:rPr>
        <w:t>con</w:t>
      </w:r>
      <w:r w:rsidR="0029335C" w:rsidRPr="00467BFA">
        <w:rPr>
          <w:rFonts w:ascii="Open Sans" w:hAnsi="Open Sans" w:cs="Open Sans"/>
          <w:color w:val="000000"/>
        </w:rPr>
        <w:t xml:space="preserve"> </w:t>
      </w:r>
      <w:r w:rsidR="00591752">
        <w:rPr>
          <w:rFonts w:ascii="Open Sans" w:hAnsi="Open Sans" w:cs="Open Sans"/>
          <w:color w:val="000000"/>
        </w:rPr>
        <w:t>7,01</w:t>
      </w:r>
      <w:r w:rsidR="001C79E5">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w:t>
      </w:r>
      <w:r w:rsidR="00591752" w:rsidRPr="0029335C">
        <w:rPr>
          <w:rFonts w:ascii="Open Sans" w:hAnsi="Open Sans" w:cs="Open Sans"/>
          <w:color w:val="000000"/>
        </w:rPr>
        <w:t>Región de Murcia</w:t>
      </w:r>
      <w:r w:rsidR="00591752">
        <w:rPr>
          <w:rFonts w:ascii="Open Sans" w:hAnsi="Open Sans" w:cs="Open Sans"/>
          <w:color w:val="000000"/>
        </w:rPr>
        <w:t xml:space="preserve"> con</w:t>
      </w:r>
      <w:r w:rsidR="00591752" w:rsidRPr="00467BFA">
        <w:rPr>
          <w:rFonts w:ascii="Open Sans" w:hAnsi="Open Sans" w:cs="Open Sans"/>
          <w:color w:val="000000"/>
        </w:rPr>
        <w:t xml:space="preserve"> </w:t>
      </w:r>
      <w:r w:rsidR="00591752">
        <w:rPr>
          <w:rFonts w:ascii="Open Sans" w:hAnsi="Open Sans" w:cs="Open Sans"/>
          <w:color w:val="000000"/>
        </w:rPr>
        <w:t xml:space="preserve">6,90 </w:t>
      </w:r>
      <w:r w:rsidR="00591752" w:rsidRPr="00467BFA">
        <w:rPr>
          <w:rFonts w:ascii="Open Sans" w:hAnsi="Open Sans" w:cs="Open Sans"/>
          <w:color w:val="000000"/>
        </w:rPr>
        <w:t>€/m</w:t>
      </w:r>
      <w:r w:rsidR="00591752" w:rsidRPr="00FC4BCC">
        <w:rPr>
          <w:rFonts w:ascii="Open Sans" w:hAnsi="Open Sans" w:cs="Open Sans"/>
          <w:color w:val="000000"/>
          <w:vertAlign w:val="superscript"/>
        </w:rPr>
        <w:t>2</w:t>
      </w:r>
      <w:r w:rsidR="00591752" w:rsidRPr="00467BFA">
        <w:rPr>
          <w:rFonts w:ascii="Open Sans" w:hAnsi="Open Sans" w:cs="Open Sans"/>
          <w:color w:val="000000"/>
        </w:rPr>
        <w:t xml:space="preserve"> </w:t>
      </w:r>
      <w:r w:rsidR="00591752" w:rsidRPr="00A1719F">
        <w:rPr>
          <w:rFonts w:ascii="Open Sans" w:hAnsi="Open Sans" w:cs="Open Sans"/>
          <w:color w:val="000000"/>
        </w:rPr>
        <w:t>al mes</w:t>
      </w:r>
      <w:r w:rsidR="00591752">
        <w:rPr>
          <w:rFonts w:ascii="Open Sans" w:hAnsi="Open Sans" w:cs="Open Sans"/>
          <w:color w:val="000000"/>
        </w:rPr>
        <w:t>,</w:t>
      </w:r>
      <w:r w:rsidR="00591752" w:rsidRPr="0029335C">
        <w:rPr>
          <w:rFonts w:ascii="Open Sans" w:hAnsi="Open Sans" w:cs="Open Sans"/>
          <w:color w:val="000000"/>
        </w:rPr>
        <w:t xml:space="preserve"> </w:t>
      </w:r>
      <w:r w:rsidR="0029335C" w:rsidRPr="0029335C">
        <w:rPr>
          <w:rFonts w:ascii="Open Sans" w:hAnsi="Open Sans" w:cs="Open Sans"/>
          <w:color w:val="000000"/>
        </w:rPr>
        <w:t>Castilla-La Mancha</w:t>
      </w:r>
      <w:r w:rsidR="0029335C">
        <w:rPr>
          <w:rFonts w:ascii="Open Sans" w:hAnsi="Open Sans" w:cs="Open Sans"/>
          <w:color w:val="000000"/>
        </w:rPr>
        <w:t xml:space="preserve"> con</w:t>
      </w:r>
      <w:r w:rsidR="0029335C" w:rsidRPr="00467BFA">
        <w:rPr>
          <w:rFonts w:ascii="Open Sans" w:hAnsi="Open Sans" w:cs="Open Sans"/>
          <w:color w:val="000000"/>
        </w:rPr>
        <w:t xml:space="preserve"> </w:t>
      </w:r>
      <w:r w:rsidR="0029335C">
        <w:rPr>
          <w:rFonts w:ascii="Open Sans" w:hAnsi="Open Sans" w:cs="Open Sans"/>
          <w:color w:val="000000"/>
        </w:rPr>
        <w:t>5,</w:t>
      </w:r>
      <w:r w:rsidR="00591752">
        <w:rPr>
          <w:rFonts w:ascii="Open Sans" w:hAnsi="Open Sans" w:cs="Open Sans"/>
          <w:color w:val="000000"/>
        </w:rPr>
        <w:t>74</w:t>
      </w:r>
      <w:r w:rsidR="0029335C">
        <w:rPr>
          <w:rFonts w:ascii="Open Sans" w:hAnsi="Open Sans" w:cs="Open Sans"/>
          <w:color w:val="000000"/>
        </w:rPr>
        <w:t xml:space="preserve"> </w:t>
      </w:r>
      <w:r w:rsidR="0029335C" w:rsidRPr="00467BFA">
        <w:rPr>
          <w:rFonts w:ascii="Open Sans" w:hAnsi="Open Sans" w:cs="Open Sans"/>
          <w:color w:val="000000"/>
        </w:rPr>
        <w:t>€/m</w:t>
      </w:r>
      <w:r w:rsidR="0029335C" w:rsidRPr="00FC4BCC">
        <w:rPr>
          <w:rFonts w:ascii="Open Sans" w:hAnsi="Open Sans" w:cs="Open Sans"/>
          <w:color w:val="000000"/>
          <w:vertAlign w:val="superscript"/>
        </w:rPr>
        <w:t>2</w:t>
      </w:r>
      <w:r w:rsidR="0029335C" w:rsidRPr="00467BFA">
        <w:rPr>
          <w:rFonts w:ascii="Open Sans" w:hAnsi="Open Sans" w:cs="Open Sans"/>
          <w:color w:val="000000"/>
        </w:rPr>
        <w:t xml:space="preserve"> </w:t>
      </w:r>
      <w:r w:rsidR="0029335C" w:rsidRPr="00A1719F">
        <w:rPr>
          <w:rFonts w:ascii="Open Sans" w:hAnsi="Open Sans" w:cs="Open Sans"/>
          <w:color w:val="000000"/>
        </w:rPr>
        <w:t>al mes</w:t>
      </w:r>
      <w:r w:rsidR="0029335C">
        <w:rPr>
          <w:rFonts w:ascii="Open Sans" w:hAnsi="Open Sans" w:cs="Open Sans"/>
          <w:color w:val="000000"/>
        </w:rPr>
        <w:t xml:space="preserve"> y </w:t>
      </w:r>
      <w:r w:rsidR="0029335C" w:rsidRPr="0029335C">
        <w:rPr>
          <w:rFonts w:ascii="Open Sans" w:hAnsi="Open Sans" w:cs="Open Sans"/>
          <w:color w:val="000000"/>
        </w:rPr>
        <w:t>Extremadura</w:t>
      </w:r>
      <w:r w:rsidR="0029335C">
        <w:rPr>
          <w:rFonts w:ascii="Open Sans" w:hAnsi="Open Sans" w:cs="Open Sans"/>
          <w:color w:val="000000"/>
        </w:rPr>
        <w:t xml:space="preserve"> con</w:t>
      </w:r>
      <w:r w:rsidR="0029335C" w:rsidRPr="00467BFA">
        <w:rPr>
          <w:rFonts w:ascii="Open Sans" w:hAnsi="Open Sans" w:cs="Open Sans"/>
          <w:color w:val="000000"/>
        </w:rPr>
        <w:t xml:space="preserve"> </w:t>
      </w:r>
      <w:r w:rsidR="00F6414F">
        <w:rPr>
          <w:rFonts w:ascii="Open Sans" w:hAnsi="Open Sans" w:cs="Open Sans"/>
          <w:color w:val="000000"/>
        </w:rPr>
        <w:t>5,</w:t>
      </w:r>
      <w:r w:rsidR="00591752">
        <w:rPr>
          <w:rFonts w:ascii="Open Sans" w:hAnsi="Open Sans" w:cs="Open Sans"/>
          <w:color w:val="000000"/>
        </w:rPr>
        <w:t>28</w:t>
      </w:r>
      <w:r w:rsidR="0029335C">
        <w:rPr>
          <w:rFonts w:ascii="Open Sans" w:hAnsi="Open Sans" w:cs="Open Sans"/>
          <w:color w:val="000000"/>
        </w:rPr>
        <w:t xml:space="preserve"> </w:t>
      </w:r>
      <w:r w:rsidR="009503DB" w:rsidRPr="00467BFA">
        <w:rPr>
          <w:rFonts w:ascii="Open Sans" w:hAnsi="Open Sans" w:cs="Open Sans"/>
          <w:color w:val="000000"/>
        </w:rPr>
        <w:t>€/m</w:t>
      </w:r>
      <w:r w:rsidR="009503DB" w:rsidRPr="00FC4BCC">
        <w:rPr>
          <w:rFonts w:ascii="Open Sans" w:hAnsi="Open Sans" w:cs="Open Sans"/>
          <w:color w:val="000000"/>
          <w:vertAlign w:val="superscript"/>
        </w:rPr>
        <w:t>2</w:t>
      </w:r>
      <w:r w:rsidR="009503DB" w:rsidRPr="00467BFA">
        <w:rPr>
          <w:rFonts w:ascii="Open Sans" w:hAnsi="Open Sans" w:cs="Open Sans"/>
          <w:color w:val="000000"/>
        </w:rPr>
        <w:t xml:space="preserve"> </w:t>
      </w:r>
      <w:r w:rsidR="009503DB" w:rsidRPr="00A1719F">
        <w:rPr>
          <w:rFonts w:ascii="Open Sans" w:hAnsi="Open Sans" w:cs="Open Sans"/>
          <w:color w:val="000000"/>
        </w:rPr>
        <w:t>al mes</w:t>
      </w:r>
      <w:r w:rsidR="009503DB">
        <w:rPr>
          <w:rFonts w:ascii="Open Sans" w:hAnsi="Open Sans" w:cs="Open Sans"/>
          <w:color w:val="000000"/>
        </w:rPr>
        <w:t>.</w:t>
      </w:r>
    </w:p>
    <w:p w14:paraId="75E1BABE" w14:textId="6D57BB2F" w:rsidR="00F248C4" w:rsidRDefault="00F248C4" w:rsidP="0047737D">
      <w:pPr>
        <w:pStyle w:val="NormalWeb"/>
        <w:shd w:val="clear" w:color="auto" w:fill="FFFFFF"/>
        <w:spacing w:line="276" w:lineRule="auto"/>
        <w:ind w:right="-574"/>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 xml:space="preserve">CCAA de mayor a menor incremento </w:t>
      </w:r>
      <w:r w:rsidR="0000483C">
        <w:rPr>
          <w:rFonts w:ascii="Open Sans Light" w:hAnsi="Open Sans Light" w:cs="Open Sans Light"/>
          <w:b/>
          <w:iCs/>
          <w:color w:val="303AB2"/>
          <w:sz w:val="28"/>
          <w:szCs w:val="22"/>
        </w:rPr>
        <w:t>mensual</w:t>
      </w:r>
    </w:p>
    <w:tbl>
      <w:tblPr>
        <w:tblStyle w:val="Tabladecuadrcula5oscura-nfasis11"/>
        <w:tblW w:w="9081" w:type="dxa"/>
        <w:tblLook w:val="04A0" w:firstRow="1" w:lastRow="0" w:firstColumn="1" w:lastColumn="0" w:noHBand="0" w:noVBand="1"/>
      </w:tblPr>
      <w:tblGrid>
        <w:gridCol w:w="2722"/>
        <w:gridCol w:w="2552"/>
        <w:gridCol w:w="1951"/>
        <w:gridCol w:w="1856"/>
      </w:tblGrid>
      <w:tr w:rsidR="00F248C4" w:rsidRPr="0022457A" w14:paraId="51B76B03" w14:textId="77777777" w:rsidTr="0022457A">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center"/>
          </w:tcPr>
          <w:p w14:paraId="6FC60D52" w14:textId="77777777" w:rsidR="00F248C4" w:rsidRPr="0022457A" w:rsidRDefault="00F248C4" w:rsidP="002D1A36">
            <w:pPr>
              <w:rPr>
                <w:rFonts w:ascii="Open Sans" w:hAnsi="Open Sans" w:cs="Open Sans"/>
                <w:b w:val="0"/>
                <w:sz w:val="22"/>
                <w:szCs w:val="22"/>
                <w:lang w:val="es-ES"/>
              </w:rPr>
            </w:pPr>
            <w:r w:rsidRPr="0022457A">
              <w:rPr>
                <w:rFonts w:ascii="Open Sans" w:hAnsi="Open Sans" w:cs="Open Sans"/>
                <w:b w:val="0"/>
                <w:sz w:val="22"/>
                <w:szCs w:val="22"/>
                <w:lang w:val="es-ES"/>
              </w:rPr>
              <w:t>Comunidad Autónoma</w:t>
            </w:r>
          </w:p>
        </w:tc>
        <w:tc>
          <w:tcPr>
            <w:tcW w:w="2552" w:type="dxa"/>
            <w:vAlign w:val="center"/>
          </w:tcPr>
          <w:p w14:paraId="1BF9FE33" w14:textId="77777777" w:rsidR="00F248C4" w:rsidRPr="0022457A" w:rsidRDefault="00F248C4" w:rsidP="002D1A3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22457A">
              <w:rPr>
                <w:rFonts w:ascii="Open Sans" w:hAnsi="Open Sans" w:cs="Open Sans"/>
                <w:b w:val="0"/>
                <w:sz w:val="22"/>
                <w:szCs w:val="22"/>
                <w:lang w:val="es-ES"/>
              </w:rPr>
              <w:t>Variación</w:t>
            </w:r>
          </w:p>
          <w:p w14:paraId="6099A44C" w14:textId="77777777" w:rsidR="00F248C4" w:rsidRPr="0022457A" w:rsidRDefault="0000483C" w:rsidP="002D1A3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22457A">
              <w:rPr>
                <w:rFonts w:ascii="Open Sans" w:hAnsi="Open Sans" w:cs="Open Sans"/>
                <w:b w:val="0"/>
                <w:sz w:val="22"/>
                <w:szCs w:val="22"/>
                <w:lang w:val="es-ES"/>
              </w:rPr>
              <w:t>mensual</w:t>
            </w:r>
            <w:r w:rsidR="00F248C4" w:rsidRPr="0022457A">
              <w:rPr>
                <w:rFonts w:ascii="Open Sans" w:hAnsi="Open Sans" w:cs="Open Sans"/>
                <w:b w:val="0"/>
                <w:sz w:val="22"/>
                <w:szCs w:val="22"/>
                <w:lang w:val="es-ES"/>
              </w:rPr>
              <w:t xml:space="preserve"> (%)</w:t>
            </w:r>
          </w:p>
        </w:tc>
        <w:tc>
          <w:tcPr>
            <w:tcW w:w="1951" w:type="dxa"/>
            <w:vAlign w:val="center"/>
          </w:tcPr>
          <w:p w14:paraId="0140D32D" w14:textId="77777777" w:rsidR="00F248C4" w:rsidRPr="0022457A" w:rsidRDefault="00F248C4" w:rsidP="002D1A3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22457A">
              <w:rPr>
                <w:rFonts w:ascii="Open Sans" w:hAnsi="Open Sans" w:cs="Open Sans"/>
                <w:b w:val="0"/>
                <w:sz w:val="22"/>
                <w:szCs w:val="22"/>
                <w:lang w:val="es-ES"/>
              </w:rPr>
              <w:t>Variación interanual (%)</w:t>
            </w:r>
          </w:p>
        </w:tc>
        <w:tc>
          <w:tcPr>
            <w:tcW w:w="1856" w:type="dxa"/>
            <w:vAlign w:val="center"/>
          </w:tcPr>
          <w:p w14:paraId="2EF2177A" w14:textId="30F8BEC2" w:rsidR="00F248C4" w:rsidRPr="0022457A" w:rsidRDefault="00EB525D" w:rsidP="000955C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Pr>
                <w:rFonts w:ascii="Open Sans" w:hAnsi="Open Sans" w:cs="Open Sans"/>
                <w:b w:val="0"/>
                <w:sz w:val="22"/>
                <w:szCs w:val="22"/>
                <w:lang w:val="es-ES"/>
              </w:rPr>
              <w:t>Octubre</w:t>
            </w:r>
            <w:r w:rsidR="009503DB" w:rsidRPr="0022457A">
              <w:rPr>
                <w:rFonts w:ascii="Open Sans" w:hAnsi="Open Sans" w:cs="Open Sans"/>
                <w:b w:val="0"/>
                <w:sz w:val="22"/>
                <w:szCs w:val="22"/>
                <w:lang w:val="es-ES"/>
              </w:rPr>
              <w:t xml:space="preserve"> 2020</w:t>
            </w:r>
          </w:p>
          <w:p w14:paraId="187B6AA8" w14:textId="77777777" w:rsidR="00F248C4" w:rsidRPr="0022457A" w:rsidRDefault="00F248C4" w:rsidP="000955C6">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sz w:val="22"/>
                <w:szCs w:val="22"/>
                <w:lang w:val="es-ES"/>
              </w:rPr>
            </w:pPr>
            <w:r w:rsidRPr="0022457A">
              <w:rPr>
                <w:rFonts w:ascii="Open Sans" w:hAnsi="Open Sans" w:cs="Open Sans"/>
                <w:b w:val="0"/>
                <w:sz w:val="22"/>
                <w:szCs w:val="22"/>
                <w:lang w:val="es-ES"/>
              </w:rPr>
              <w:t>(€/m² al mes)</w:t>
            </w:r>
          </w:p>
        </w:tc>
      </w:tr>
      <w:tr w:rsidR="00EB525D" w:rsidRPr="0022457A" w14:paraId="7E862122" w14:textId="77777777" w:rsidTr="002245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04912839" w14:textId="7A06AB12"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Baleares</w:t>
            </w:r>
          </w:p>
        </w:tc>
        <w:tc>
          <w:tcPr>
            <w:tcW w:w="2552" w:type="dxa"/>
            <w:vAlign w:val="bottom"/>
          </w:tcPr>
          <w:p w14:paraId="4FC0D17F" w14:textId="49FDF875"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-3,2%</w:t>
            </w:r>
          </w:p>
        </w:tc>
        <w:tc>
          <w:tcPr>
            <w:tcW w:w="1951" w:type="dxa"/>
            <w:vAlign w:val="bottom"/>
          </w:tcPr>
          <w:p w14:paraId="3331D738" w14:textId="196005EF"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-6,8%</w:t>
            </w:r>
          </w:p>
        </w:tc>
        <w:tc>
          <w:tcPr>
            <w:tcW w:w="1856" w:type="dxa"/>
            <w:vAlign w:val="bottom"/>
          </w:tcPr>
          <w:p w14:paraId="1A1A5045" w14:textId="67D6B820" w:rsidR="00EB525D" w:rsidRPr="0022457A" w:rsidRDefault="00EB525D" w:rsidP="000955C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11,64 €</w:t>
            </w:r>
          </w:p>
        </w:tc>
      </w:tr>
      <w:tr w:rsidR="00EB525D" w:rsidRPr="0022457A" w14:paraId="2880A5C1" w14:textId="77777777" w:rsidTr="0022457A">
        <w:trPr>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7AB20CC9" w14:textId="12CA4E89"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Región de Murcia</w:t>
            </w:r>
          </w:p>
        </w:tc>
        <w:tc>
          <w:tcPr>
            <w:tcW w:w="2552" w:type="dxa"/>
            <w:vAlign w:val="bottom"/>
          </w:tcPr>
          <w:p w14:paraId="1BA1698B" w14:textId="3DDA94D0"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-3,0%</w:t>
            </w:r>
          </w:p>
        </w:tc>
        <w:tc>
          <w:tcPr>
            <w:tcW w:w="1951" w:type="dxa"/>
            <w:vAlign w:val="bottom"/>
          </w:tcPr>
          <w:p w14:paraId="1A5AA9FA" w14:textId="5E2A8C8E"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10,0%</w:t>
            </w:r>
          </w:p>
        </w:tc>
        <w:tc>
          <w:tcPr>
            <w:tcW w:w="1856" w:type="dxa"/>
            <w:vAlign w:val="bottom"/>
          </w:tcPr>
          <w:p w14:paraId="2337A34E" w14:textId="67FAA74B" w:rsidR="00EB525D" w:rsidRPr="0022457A" w:rsidRDefault="00EB525D" w:rsidP="000955C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6,90 €</w:t>
            </w:r>
          </w:p>
        </w:tc>
      </w:tr>
      <w:tr w:rsidR="00EB525D" w:rsidRPr="0022457A" w14:paraId="21CE2FE9" w14:textId="77777777" w:rsidTr="002245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6A639C5A" w14:textId="33CAEA63"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Extremadura</w:t>
            </w:r>
          </w:p>
        </w:tc>
        <w:tc>
          <w:tcPr>
            <w:tcW w:w="2552" w:type="dxa"/>
            <w:vAlign w:val="bottom"/>
          </w:tcPr>
          <w:p w14:paraId="0A720E3A" w14:textId="563DF879"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-2,2%</w:t>
            </w:r>
          </w:p>
        </w:tc>
        <w:tc>
          <w:tcPr>
            <w:tcW w:w="1951" w:type="dxa"/>
            <w:vAlign w:val="bottom"/>
          </w:tcPr>
          <w:p w14:paraId="54987F44" w14:textId="0EB5FC0B"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9,3%</w:t>
            </w:r>
          </w:p>
        </w:tc>
        <w:tc>
          <w:tcPr>
            <w:tcW w:w="1856" w:type="dxa"/>
            <w:vAlign w:val="bottom"/>
          </w:tcPr>
          <w:p w14:paraId="79573661" w14:textId="51CE0698" w:rsidR="00EB525D" w:rsidRPr="0022457A" w:rsidRDefault="00EB525D" w:rsidP="000955C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5,28 €</w:t>
            </w:r>
          </w:p>
        </w:tc>
      </w:tr>
      <w:tr w:rsidR="00EB525D" w:rsidRPr="0022457A" w14:paraId="5FABD0D3" w14:textId="77777777" w:rsidTr="0022457A">
        <w:trPr>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7E10BD1B" w14:textId="1D8791AF"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Comunitat Valenciana</w:t>
            </w:r>
          </w:p>
        </w:tc>
        <w:tc>
          <w:tcPr>
            <w:tcW w:w="2552" w:type="dxa"/>
            <w:vAlign w:val="bottom"/>
          </w:tcPr>
          <w:p w14:paraId="6333AF3D" w14:textId="7AFEB5B2"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-1,9%</w:t>
            </w:r>
          </w:p>
        </w:tc>
        <w:tc>
          <w:tcPr>
            <w:tcW w:w="1951" w:type="dxa"/>
            <w:vAlign w:val="bottom"/>
          </w:tcPr>
          <w:p w14:paraId="50D6AFDE" w14:textId="05B9A405"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5,4%</w:t>
            </w:r>
          </w:p>
        </w:tc>
        <w:tc>
          <w:tcPr>
            <w:tcW w:w="1856" w:type="dxa"/>
            <w:vAlign w:val="bottom"/>
          </w:tcPr>
          <w:p w14:paraId="5725C963" w14:textId="0EFD90CC" w:rsidR="00EB525D" w:rsidRPr="0022457A" w:rsidRDefault="00EB525D" w:rsidP="000955C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8,39 €</w:t>
            </w:r>
          </w:p>
        </w:tc>
      </w:tr>
      <w:tr w:rsidR="00EB525D" w:rsidRPr="0022457A" w14:paraId="7F835EB9" w14:textId="77777777" w:rsidTr="002245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5D772423" w14:textId="3828C4FE"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Madrid</w:t>
            </w:r>
          </w:p>
        </w:tc>
        <w:tc>
          <w:tcPr>
            <w:tcW w:w="2552" w:type="dxa"/>
            <w:vAlign w:val="bottom"/>
          </w:tcPr>
          <w:p w14:paraId="3EB24BB9" w14:textId="5541CCAB"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-1,4%</w:t>
            </w:r>
          </w:p>
        </w:tc>
        <w:tc>
          <w:tcPr>
            <w:tcW w:w="1951" w:type="dxa"/>
            <w:vAlign w:val="bottom"/>
          </w:tcPr>
          <w:p w14:paraId="590FDF75" w14:textId="69A58AA9"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-2,1%</w:t>
            </w:r>
          </w:p>
        </w:tc>
        <w:tc>
          <w:tcPr>
            <w:tcW w:w="1856" w:type="dxa"/>
            <w:vAlign w:val="bottom"/>
          </w:tcPr>
          <w:p w14:paraId="50FC70E2" w14:textId="51764B05" w:rsidR="00EB525D" w:rsidRPr="0022457A" w:rsidRDefault="00EB525D" w:rsidP="000955C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14,51 €</w:t>
            </w:r>
          </w:p>
        </w:tc>
      </w:tr>
      <w:tr w:rsidR="00EB525D" w:rsidRPr="0022457A" w14:paraId="6996BFB8" w14:textId="77777777" w:rsidTr="0022457A">
        <w:trPr>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6DD5CA21" w14:textId="77BD134F"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Cataluña</w:t>
            </w:r>
          </w:p>
        </w:tc>
        <w:tc>
          <w:tcPr>
            <w:tcW w:w="2552" w:type="dxa"/>
            <w:vAlign w:val="bottom"/>
          </w:tcPr>
          <w:p w14:paraId="3DB8359F" w14:textId="47E9E401"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-0,9%</w:t>
            </w:r>
          </w:p>
        </w:tc>
        <w:tc>
          <w:tcPr>
            <w:tcW w:w="1951" w:type="dxa"/>
            <w:vAlign w:val="bottom"/>
          </w:tcPr>
          <w:p w14:paraId="5EEDE250" w14:textId="1D5DF9B6"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3,2%</w:t>
            </w:r>
          </w:p>
        </w:tc>
        <w:tc>
          <w:tcPr>
            <w:tcW w:w="1856" w:type="dxa"/>
            <w:vAlign w:val="bottom"/>
          </w:tcPr>
          <w:p w14:paraId="670FF0D3" w14:textId="37AA0D10" w:rsidR="00EB525D" w:rsidRPr="0022457A" w:rsidRDefault="00EB525D" w:rsidP="000955C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14,28 €</w:t>
            </w:r>
          </w:p>
        </w:tc>
      </w:tr>
      <w:tr w:rsidR="00EB525D" w:rsidRPr="0022457A" w14:paraId="710B7EA6" w14:textId="77777777" w:rsidTr="002245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5745D35A" w14:textId="67F5F55F"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Castilla y León</w:t>
            </w:r>
          </w:p>
        </w:tc>
        <w:tc>
          <w:tcPr>
            <w:tcW w:w="2552" w:type="dxa"/>
            <w:vAlign w:val="bottom"/>
          </w:tcPr>
          <w:p w14:paraId="2CCA17E9" w14:textId="1FF17B3C"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-0,8%</w:t>
            </w:r>
          </w:p>
        </w:tc>
        <w:tc>
          <w:tcPr>
            <w:tcW w:w="1951" w:type="dxa"/>
            <w:vAlign w:val="bottom"/>
          </w:tcPr>
          <w:p w14:paraId="600414EB" w14:textId="4F72C364"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7,6%</w:t>
            </w:r>
          </w:p>
        </w:tc>
        <w:tc>
          <w:tcPr>
            <w:tcW w:w="1856" w:type="dxa"/>
            <w:vAlign w:val="bottom"/>
          </w:tcPr>
          <w:p w14:paraId="17A35BF5" w14:textId="22B1982D" w:rsidR="00EB525D" w:rsidRPr="0022457A" w:rsidRDefault="00EB525D" w:rsidP="000955C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7,09 €</w:t>
            </w:r>
          </w:p>
        </w:tc>
      </w:tr>
      <w:tr w:rsidR="00EB525D" w:rsidRPr="0022457A" w14:paraId="45A8189F" w14:textId="77777777" w:rsidTr="0022457A">
        <w:trPr>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61068C6E" w14:textId="000D45FE"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País Vasco</w:t>
            </w:r>
          </w:p>
        </w:tc>
        <w:tc>
          <w:tcPr>
            <w:tcW w:w="2552" w:type="dxa"/>
            <w:vAlign w:val="bottom"/>
          </w:tcPr>
          <w:p w14:paraId="534647FA" w14:textId="2C2EB181"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-0,4%</w:t>
            </w:r>
          </w:p>
        </w:tc>
        <w:tc>
          <w:tcPr>
            <w:tcW w:w="1951" w:type="dxa"/>
            <w:vAlign w:val="bottom"/>
          </w:tcPr>
          <w:p w14:paraId="4A4430DD" w14:textId="72BDDFAF"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5,4%</w:t>
            </w:r>
          </w:p>
        </w:tc>
        <w:tc>
          <w:tcPr>
            <w:tcW w:w="1856" w:type="dxa"/>
            <w:vAlign w:val="bottom"/>
          </w:tcPr>
          <w:p w14:paraId="35136F78" w14:textId="1718106A" w:rsidR="00EB525D" w:rsidRPr="0022457A" w:rsidRDefault="00EB525D" w:rsidP="000955C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13,39 €</w:t>
            </w:r>
          </w:p>
        </w:tc>
      </w:tr>
      <w:tr w:rsidR="00EB525D" w:rsidRPr="0022457A" w14:paraId="55E3C282" w14:textId="77777777" w:rsidTr="002245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5CC57748" w14:textId="57083A00"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lastRenderedPageBreak/>
              <w:t>Navarra</w:t>
            </w:r>
          </w:p>
        </w:tc>
        <w:tc>
          <w:tcPr>
            <w:tcW w:w="2552" w:type="dxa"/>
            <w:vAlign w:val="bottom"/>
          </w:tcPr>
          <w:p w14:paraId="1E7DF819" w14:textId="70FD7B7C"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-0,2%</w:t>
            </w:r>
          </w:p>
        </w:tc>
        <w:tc>
          <w:tcPr>
            <w:tcW w:w="1951" w:type="dxa"/>
            <w:vAlign w:val="bottom"/>
          </w:tcPr>
          <w:p w14:paraId="61A3A2FC" w14:textId="42578178"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13,8%</w:t>
            </w:r>
          </w:p>
        </w:tc>
        <w:tc>
          <w:tcPr>
            <w:tcW w:w="1856" w:type="dxa"/>
            <w:vAlign w:val="bottom"/>
          </w:tcPr>
          <w:p w14:paraId="5DB07776" w14:textId="07DD4C6E" w:rsidR="00EB525D" w:rsidRPr="0022457A" w:rsidRDefault="00EB525D" w:rsidP="000955C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9,74 €</w:t>
            </w:r>
          </w:p>
        </w:tc>
      </w:tr>
      <w:tr w:rsidR="00EB525D" w:rsidRPr="0022457A" w14:paraId="1892E112" w14:textId="77777777" w:rsidTr="0022457A">
        <w:trPr>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1DA9CA7F" w14:textId="0644B5FF"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Asturias</w:t>
            </w:r>
          </w:p>
        </w:tc>
        <w:tc>
          <w:tcPr>
            <w:tcW w:w="2552" w:type="dxa"/>
            <w:vAlign w:val="bottom"/>
          </w:tcPr>
          <w:p w14:paraId="15CA38BD" w14:textId="75C9A18F"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-0,1%</w:t>
            </w:r>
          </w:p>
        </w:tc>
        <w:tc>
          <w:tcPr>
            <w:tcW w:w="1951" w:type="dxa"/>
            <w:vAlign w:val="bottom"/>
          </w:tcPr>
          <w:p w14:paraId="09EF72E5" w14:textId="06604829"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7,0%</w:t>
            </w:r>
          </w:p>
        </w:tc>
        <w:tc>
          <w:tcPr>
            <w:tcW w:w="1856" w:type="dxa"/>
            <w:vAlign w:val="bottom"/>
          </w:tcPr>
          <w:p w14:paraId="42177290" w14:textId="0C630FCB" w:rsidR="00EB525D" w:rsidRPr="0022457A" w:rsidRDefault="00EB525D" w:rsidP="000955C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7,75 €</w:t>
            </w:r>
          </w:p>
        </w:tc>
      </w:tr>
      <w:tr w:rsidR="00EB525D" w:rsidRPr="0022457A" w14:paraId="6D15CEF9" w14:textId="77777777" w:rsidTr="002245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55D13273" w14:textId="3BDF4935"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Cantabria</w:t>
            </w:r>
          </w:p>
        </w:tc>
        <w:tc>
          <w:tcPr>
            <w:tcW w:w="2552" w:type="dxa"/>
            <w:vAlign w:val="bottom"/>
          </w:tcPr>
          <w:p w14:paraId="5589477C" w14:textId="6E0939A8"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0,0%</w:t>
            </w:r>
          </w:p>
        </w:tc>
        <w:tc>
          <w:tcPr>
            <w:tcW w:w="1951" w:type="dxa"/>
            <w:vAlign w:val="bottom"/>
          </w:tcPr>
          <w:p w14:paraId="0E88347F" w14:textId="681FFE65"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4,4%</w:t>
            </w:r>
          </w:p>
        </w:tc>
        <w:tc>
          <w:tcPr>
            <w:tcW w:w="1856" w:type="dxa"/>
            <w:vAlign w:val="bottom"/>
          </w:tcPr>
          <w:p w14:paraId="1A529473" w14:textId="6D6CE3CA" w:rsidR="00EB525D" w:rsidRPr="0022457A" w:rsidRDefault="00EB525D" w:rsidP="000955C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8,69 €</w:t>
            </w:r>
          </w:p>
        </w:tc>
      </w:tr>
      <w:tr w:rsidR="00EB525D" w:rsidRPr="0022457A" w14:paraId="3357C19B" w14:textId="77777777" w:rsidTr="0022457A">
        <w:trPr>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78B2266E" w14:textId="59E43B2A"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Andalucía</w:t>
            </w:r>
          </w:p>
        </w:tc>
        <w:tc>
          <w:tcPr>
            <w:tcW w:w="2552" w:type="dxa"/>
            <w:vAlign w:val="bottom"/>
          </w:tcPr>
          <w:p w14:paraId="65795374" w14:textId="7F521650"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0,1%</w:t>
            </w:r>
          </w:p>
        </w:tc>
        <w:tc>
          <w:tcPr>
            <w:tcW w:w="1951" w:type="dxa"/>
            <w:vAlign w:val="bottom"/>
          </w:tcPr>
          <w:p w14:paraId="7A836EF7" w14:textId="24E2EC05"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6,6%</w:t>
            </w:r>
          </w:p>
        </w:tc>
        <w:tc>
          <w:tcPr>
            <w:tcW w:w="1856" w:type="dxa"/>
            <w:vAlign w:val="bottom"/>
          </w:tcPr>
          <w:p w14:paraId="1F44F42A" w14:textId="1042E2D9" w:rsidR="00EB525D" w:rsidRPr="0022457A" w:rsidRDefault="00EB525D" w:rsidP="000955C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8,55 €</w:t>
            </w:r>
          </w:p>
        </w:tc>
      </w:tr>
      <w:tr w:rsidR="00EB525D" w:rsidRPr="0022457A" w14:paraId="1D5B5A82" w14:textId="77777777" w:rsidTr="002245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48AB22B0" w14:textId="64E7B87D"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Canarias</w:t>
            </w:r>
          </w:p>
        </w:tc>
        <w:tc>
          <w:tcPr>
            <w:tcW w:w="2552" w:type="dxa"/>
            <w:vAlign w:val="bottom"/>
          </w:tcPr>
          <w:p w14:paraId="685E896F" w14:textId="043CD657"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0,2%</w:t>
            </w:r>
          </w:p>
        </w:tc>
        <w:tc>
          <w:tcPr>
            <w:tcW w:w="1951" w:type="dxa"/>
            <w:vAlign w:val="bottom"/>
          </w:tcPr>
          <w:p w14:paraId="0DCB5CD1" w14:textId="2C005466"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9C0006"/>
                <w:sz w:val="22"/>
                <w:szCs w:val="22"/>
              </w:rPr>
              <w:t>-2,2%</w:t>
            </w:r>
          </w:p>
        </w:tc>
        <w:tc>
          <w:tcPr>
            <w:tcW w:w="1856" w:type="dxa"/>
            <w:vAlign w:val="bottom"/>
          </w:tcPr>
          <w:p w14:paraId="4DB46A35" w14:textId="7413D3CA" w:rsidR="00EB525D" w:rsidRPr="0022457A" w:rsidRDefault="00EB525D" w:rsidP="000955C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9,67 €</w:t>
            </w:r>
          </w:p>
        </w:tc>
      </w:tr>
      <w:tr w:rsidR="00EB525D" w:rsidRPr="0022457A" w14:paraId="3550BC7A" w14:textId="77777777" w:rsidTr="0022457A">
        <w:trPr>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54ABEC3E" w14:textId="3BD971E3"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Castilla-La Mancha</w:t>
            </w:r>
          </w:p>
        </w:tc>
        <w:tc>
          <w:tcPr>
            <w:tcW w:w="2552" w:type="dxa"/>
            <w:vAlign w:val="bottom"/>
          </w:tcPr>
          <w:p w14:paraId="6292D725" w14:textId="15FBE4E9"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0,5%</w:t>
            </w:r>
          </w:p>
        </w:tc>
        <w:tc>
          <w:tcPr>
            <w:tcW w:w="1951" w:type="dxa"/>
            <w:vAlign w:val="bottom"/>
          </w:tcPr>
          <w:p w14:paraId="3654915D" w14:textId="6697D6A4"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7,7%</w:t>
            </w:r>
          </w:p>
        </w:tc>
        <w:tc>
          <w:tcPr>
            <w:tcW w:w="1856" w:type="dxa"/>
            <w:vAlign w:val="bottom"/>
          </w:tcPr>
          <w:p w14:paraId="65597E57" w14:textId="1A6DFCDC" w:rsidR="00EB525D" w:rsidRPr="0022457A" w:rsidRDefault="00EB525D" w:rsidP="000955C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5,74 €</w:t>
            </w:r>
          </w:p>
        </w:tc>
      </w:tr>
      <w:tr w:rsidR="00EB525D" w:rsidRPr="0022457A" w14:paraId="56B157AB" w14:textId="77777777" w:rsidTr="002245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755B6B3C" w14:textId="435136FE"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Galicia</w:t>
            </w:r>
          </w:p>
        </w:tc>
        <w:tc>
          <w:tcPr>
            <w:tcW w:w="2552" w:type="dxa"/>
            <w:vAlign w:val="bottom"/>
          </w:tcPr>
          <w:p w14:paraId="4F2DD19C" w14:textId="5B0F0061"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0,7%</w:t>
            </w:r>
          </w:p>
        </w:tc>
        <w:tc>
          <w:tcPr>
            <w:tcW w:w="1951" w:type="dxa"/>
            <w:vAlign w:val="bottom"/>
          </w:tcPr>
          <w:p w14:paraId="2BCF2E68" w14:textId="19672651"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7,6%</w:t>
            </w:r>
          </w:p>
        </w:tc>
        <w:tc>
          <w:tcPr>
            <w:tcW w:w="1856" w:type="dxa"/>
            <w:vAlign w:val="bottom"/>
          </w:tcPr>
          <w:p w14:paraId="4634125D" w14:textId="3D9B0644" w:rsidR="00EB525D" w:rsidRPr="0022457A" w:rsidRDefault="00EB525D" w:rsidP="000955C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7,10 €</w:t>
            </w:r>
          </w:p>
        </w:tc>
      </w:tr>
      <w:tr w:rsidR="00EB525D" w:rsidRPr="0022457A" w14:paraId="038866F9" w14:textId="77777777" w:rsidTr="0022457A">
        <w:trPr>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6C7D2BD0" w14:textId="265D81A8"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Aragón</w:t>
            </w:r>
          </w:p>
        </w:tc>
        <w:tc>
          <w:tcPr>
            <w:tcW w:w="2552" w:type="dxa"/>
            <w:vAlign w:val="bottom"/>
          </w:tcPr>
          <w:p w14:paraId="1906AB99" w14:textId="165A3FB7"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1,7%</w:t>
            </w:r>
          </w:p>
        </w:tc>
        <w:tc>
          <w:tcPr>
            <w:tcW w:w="1951" w:type="dxa"/>
            <w:vAlign w:val="bottom"/>
          </w:tcPr>
          <w:p w14:paraId="2FF1C8C0" w14:textId="1A645233" w:rsidR="00EB525D" w:rsidRPr="0022457A"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4,8%</w:t>
            </w:r>
          </w:p>
        </w:tc>
        <w:tc>
          <w:tcPr>
            <w:tcW w:w="1856" w:type="dxa"/>
            <w:vAlign w:val="bottom"/>
          </w:tcPr>
          <w:p w14:paraId="69AF421E" w14:textId="27A0FB02" w:rsidR="00EB525D" w:rsidRPr="0022457A" w:rsidRDefault="00EB525D" w:rsidP="000955C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8,50 €</w:t>
            </w:r>
          </w:p>
        </w:tc>
      </w:tr>
      <w:tr w:rsidR="00EB525D" w:rsidRPr="0022457A" w14:paraId="54A9AA88" w14:textId="77777777" w:rsidTr="0022457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22E30B6B" w14:textId="7F28A61E" w:rsidR="00EB525D" w:rsidRPr="00EB525D" w:rsidRDefault="00EB525D" w:rsidP="00EB525D">
            <w:pPr>
              <w:rPr>
                <w:rFonts w:ascii="Open Sans" w:hAnsi="Open Sans" w:cs="Open Sans"/>
                <w:b w:val="0"/>
                <w:bCs w:val="0"/>
                <w:sz w:val="22"/>
                <w:szCs w:val="22"/>
              </w:rPr>
            </w:pPr>
            <w:r w:rsidRPr="00EB525D">
              <w:rPr>
                <w:rFonts w:ascii="Open Sans" w:hAnsi="Open Sans" w:cs="Open Sans"/>
                <w:b w:val="0"/>
                <w:bCs w:val="0"/>
                <w:sz w:val="22"/>
                <w:szCs w:val="22"/>
              </w:rPr>
              <w:t>La Rioja</w:t>
            </w:r>
          </w:p>
        </w:tc>
        <w:tc>
          <w:tcPr>
            <w:tcW w:w="2552" w:type="dxa"/>
            <w:vAlign w:val="bottom"/>
          </w:tcPr>
          <w:p w14:paraId="7B39BABE" w14:textId="6D1D1A0D"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9C0006"/>
                <w:sz w:val="22"/>
                <w:szCs w:val="22"/>
              </w:rPr>
            </w:pPr>
            <w:r>
              <w:rPr>
                <w:rFonts w:ascii="Open Sans" w:hAnsi="Open Sans" w:cs="Open Sans"/>
                <w:color w:val="000000"/>
                <w:sz w:val="22"/>
                <w:szCs w:val="22"/>
              </w:rPr>
              <w:t>2,6%</w:t>
            </w:r>
          </w:p>
        </w:tc>
        <w:tc>
          <w:tcPr>
            <w:tcW w:w="1951" w:type="dxa"/>
            <w:vAlign w:val="bottom"/>
          </w:tcPr>
          <w:p w14:paraId="70BE1809" w14:textId="33904120" w:rsidR="00EB525D" w:rsidRPr="0022457A" w:rsidRDefault="00EB525D" w:rsidP="00EB525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7,8%</w:t>
            </w:r>
          </w:p>
        </w:tc>
        <w:tc>
          <w:tcPr>
            <w:tcW w:w="1856" w:type="dxa"/>
            <w:vAlign w:val="bottom"/>
          </w:tcPr>
          <w:p w14:paraId="47AD0BC7" w14:textId="1DF0F0F9" w:rsidR="00EB525D" w:rsidRPr="0022457A" w:rsidRDefault="00EB525D" w:rsidP="000955C6">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bCs/>
                <w:color w:val="000000"/>
                <w:sz w:val="22"/>
                <w:szCs w:val="22"/>
              </w:rPr>
            </w:pPr>
            <w:r>
              <w:rPr>
                <w:rFonts w:ascii="Open Sans" w:hAnsi="Open Sans" w:cs="Open Sans"/>
                <w:color w:val="000000"/>
                <w:sz w:val="22"/>
                <w:szCs w:val="22"/>
              </w:rPr>
              <w:t>7,01 €</w:t>
            </w:r>
          </w:p>
        </w:tc>
      </w:tr>
      <w:tr w:rsidR="00EB525D" w:rsidRPr="0022457A" w14:paraId="0806443C" w14:textId="77777777" w:rsidTr="0022457A">
        <w:trPr>
          <w:trHeight w:val="283"/>
        </w:trPr>
        <w:tc>
          <w:tcPr>
            <w:cnfStyle w:val="001000000000" w:firstRow="0" w:lastRow="0" w:firstColumn="1" w:lastColumn="0" w:oddVBand="0" w:evenVBand="0" w:oddHBand="0" w:evenHBand="0" w:firstRowFirstColumn="0" w:firstRowLastColumn="0" w:lastRowFirstColumn="0" w:lastRowLastColumn="0"/>
            <w:tcW w:w="2722" w:type="dxa"/>
            <w:vAlign w:val="bottom"/>
          </w:tcPr>
          <w:p w14:paraId="0C000A10" w14:textId="3C11B7F4" w:rsidR="00EB525D" w:rsidRPr="00EB525D" w:rsidRDefault="00EB525D" w:rsidP="00EB525D">
            <w:pPr>
              <w:rPr>
                <w:rFonts w:ascii="Open Sans" w:hAnsi="Open Sans" w:cs="Open Sans"/>
                <w:sz w:val="22"/>
                <w:szCs w:val="22"/>
              </w:rPr>
            </w:pPr>
            <w:r w:rsidRPr="00EB525D">
              <w:rPr>
                <w:rFonts w:ascii="Open Sans" w:hAnsi="Open Sans" w:cs="Open Sans"/>
                <w:sz w:val="22"/>
                <w:szCs w:val="22"/>
              </w:rPr>
              <w:t>España</w:t>
            </w:r>
          </w:p>
        </w:tc>
        <w:tc>
          <w:tcPr>
            <w:tcW w:w="2552" w:type="dxa"/>
            <w:vAlign w:val="bottom"/>
          </w:tcPr>
          <w:p w14:paraId="788EB571" w14:textId="076E61A0" w:rsidR="00EB525D" w:rsidRPr="00EB525D"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9C0006"/>
                <w:sz w:val="22"/>
                <w:szCs w:val="22"/>
              </w:rPr>
            </w:pPr>
            <w:r w:rsidRPr="00EB525D">
              <w:rPr>
                <w:rFonts w:ascii="Open Sans" w:hAnsi="Open Sans" w:cs="Open Sans"/>
                <w:b/>
                <w:bCs/>
                <w:color w:val="000000"/>
                <w:sz w:val="22"/>
                <w:szCs w:val="22"/>
              </w:rPr>
              <w:t>0,1%</w:t>
            </w:r>
          </w:p>
        </w:tc>
        <w:tc>
          <w:tcPr>
            <w:tcW w:w="1951" w:type="dxa"/>
            <w:vAlign w:val="bottom"/>
          </w:tcPr>
          <w:p w14:paraId="15D3A1A5" w14:textId="1C603CA0" w:rsidR="00EB525D" w:rsidRPr="00EB525D" w:rsidRDefault="00EB525D" w:rsidP="00EB525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EB525D">
              <w:rPr>
                <w:rFonts w:ascii="Open Sans" w:hAnsi="Open Sans" w:cs="Open Sans"/>
                <w:b/>
                <w:bCs/>
                <w:color w:val="000000"/>
                <w:sz w:val="22"/>
                <w:szCs w:val="22"/>
              </w:rPr>
              <w:t>9,6%</w:t>
            </w:r>
          </w:p>
        </w:tc>
        <w:tc>
          <w:tcPr>
            <w:tcW w:w="1856" w:type="dxa"/>
            <w:vAlign w:val="bottom"/>
          </w:tcPr>
          <w:p w14:paraId="72ECF880" w14:textId="5C2469C1" w:rsidR="00EB525D" w:rsidRPr="00EB525D" w:rsidRDefault="00EB525D" w:rsidP="000955C6">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000000"/>
                <w:sz w:val="22"/>
                <w:szCs w:val="22"/>
              </w:rPr>
            </w:pPr>
            <w:r w:rsidRPr="00EB525D">
              <w:rPr>
                <w:rFonts w:ascii="Open Sans" w:hAnsi="Open Sans" w:cs="Open Sans"/>
                <w:b/>
                <w:bCs/>
                <w:color w:val="000000"/>
                <w:sz w:val="22"/>
                <w:szCs w:val="22"/>
              </w:rPr>
              <w:t>10,75 €</w:t>
            </w:r>
          </w:p>
        </w:tc>
      </w:tr>
    </w:tbl>
    <w:p w14:paraId="73745D7A" w14:textId="418ACE05" w:rsidR="00F5226F" w:rsidRDefault="006464DE" w:rsidP="00F5226F">
      <w:pPr>
        <w:pStyle w:val="NormalWeb"/>
        <w:shd w:val="clear" w:color="auto" w:fill="FFFFFF"/>
        <w:spacing w:after="225" w:line="276" w:lineRule="auto"/>
        <w:ind w:right="-574"/>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Provincias de España</w:t>
      </w:r>
    </w:p>
    <w:p w14:paraId="694CE608" w14:textId="6E3E27D4" w:rsidR="003A7A2A" w:rsidRDefault="0030676B" w:rsidP="003A7A2A">
      <w:pPr>
        <w:pStyle w:val="NormalWeb"/>
        <w:shd w:val="clear" w:color="auto" w:fill="FFFFFF"/>
        <w:spacing w:after="225" w:line="276" w:lineRule="auto"/>
        <w:ind w:right="-574"/>
        <w:jc w:val="both"/>
        <w:rPr>
          <w:rFonts w:ascii="Open Sans" w:hAnsi="Open Sans" w:cs="Open Sans"/>
          <w:color w:val="000000"/>
        </w:rPr>
      </w:pPr>
      <w:r>
        <w:rPr>
          <w:rFonts w:ascii="Open Sans" w:hAnsi="Open Sans" w:cs="Open Sans"/>
          <w:color w:val="000000"/>
        </w:rPr>
        <w:t xml:space="preserve">El precio del alquiler </w:t>
      </w:r>
      <w:r w:rsidR="006464DE">
        <w:rPr>
          <w:rFonts w:ascii="Open Sans" w:hAnsi="Open Sans" w:cs="Open Sans"/>
          <w:color w:val="000000"/>
        </w:rPr>
        <w:t>baja</w:t>
      </w:r>
      <w:r>
        <w:rPr>
          <w:rFonts w:ascii="Open Sans" w:hAnsi="Open Sans" w:cs="Open Sans"/>
          <w:color w:val="000000"/>
        </w:rPr>
        <w:t xml:space="preserve"> en </w:t>
      </w:r>
      <w:r w:rsidR="00B81DAD">
        <w:rPr>
          <w:rFonts w:ascii="Open Sans" w:hAnsi="Open Sans" w:cs="Open Sans"/>
          <w:color w:val="000000"/>
        </w:rPr>
        <w:t>2</w:t>
      </w:r>
      <w:r w:rsidR="0083320A">
        <w:rPr>
          <w:rFonts w:ascii="Open Sans" w:hAnsi="Open Sans" w:cs="Open Sans"/>
          <w:color w:val="000000"/>
        </w:rPr>
        <w:t>8</w:t>
      </w:r>
      <w:r w:rsidR="001C79E5">
        <w:rPr>
          <w:rFonts w:ascii="Open Sans" w:hAnsi="Open Sans" w:cs="Open Sans"/>
          <w:color w:val="000000"/>
        </w:rPr>
        <w:t xml:space="preserve"> </w:t>
      </w:r>
      <w:r w:rsidR="00B80FB1">
        <w:rPr>
          <w:rFonts w:ascii="Open Sans" w:hAnsi="Open Sans" w:cs="Open Sans"/>
          <w:color w:val="000000"/>
        </w:rPr>
        <w:t>de las 4</w:t>
      </w:r>
      <w:r w:rsidR="0022457A">
        <w:rPr>
          <w:rFonts w:ascii="Open Sans" w:hAnsi="Open Sans" w:cs="Open Sans"/>
          <w:color w:val="000000"/>
        </w:rPr>
        <w:t>8</w:t>
      </w:r>
      <w:r w:rsidR="00B80FB1">
        <w:rPr>
          <w:rFonts w:ascii="Open Sans" w:hAnsi="Open Sans" w:cs="Open Sans"/>
          <w:color w:val="000000"/>
        </w:rPr>
        <w:t xml:space="preserve"> provincias</w:t>
      </w:r>
      <w:r w:rsidR="00F248C4" w:rsidRPr="00DB7E4F">
        <w:rPr>
          <w:rFonts w:ascii="Open Sans" w:hAnsi="Open Sans" w:cs="Open Sans"/>
          <w:color w:val="000000"/>
        </w:rPr>
        <w:t xml:space="preserve"> </w:t>
      </w:r>
      <w:r w:rsidR="000C16D2">
        <w:rPr>
          <w:rFonts w:ascii="Open Sans" w:hAnsi="Open Sans" w:cs="Open Sans"/>
          <w:color w:val="000000"/>
        </w:rPr>
        <w:t>analizadas</w:t>
      </w:r>
      <w:r w:rsidR="003A7A2A">
        <w:rPr>
          <w:rFonts w:ascii="Open Sans" w:hAnsi="Open Sans" w:cs="Open Sans"/>
          <w:color w:val="000000"/>
        </w:rPr>
        <w:t xml:space="preserve"> (58%) </w:t>
      </w:r>
      <w:r w:rsidR="000C16D2" w:rsidRPr="00753088">
        <w:rPr>
          <w:rFonts w:ascii="Open Sans" w:hAnsi="Open Sans" w:cs="Open Sans"/>
          <w:color w:val="000000"/>
        </w:rPr>
        <w:t xml:space="preserve">por </w:t>
      </w:r>
      <w:hyperlink r:id="rId12" w:history="1">
        <w:r w:rsidR="000C16D2" w:rsidRPr="00982455">
          <w:rPr>
            <w:rStyle w:val="Hipervnculo"/>
            <w:rFonts w:ascii="Open Sans" w:hAnsi="Open Sans" w:cs="Open Sans"/>
          </w:rPr>
          <w:t>Fotocasa</w:t>
        </w:r>
      </w:hyperlink>
      <w:r w:rsidR="000C16D2">
        <w:rPr>
          <w:rStyle w:val="Hipervnculo"/>
          <w:rFonts w:ascii="Open Sans" w:hAnsi="Open Sans" w:cs="Open Sans"/>
        </w:rPr>
        <w:t>.</w:t>
      </w:r>
      <w:r w:rsidR="00F248C4">
        <w:rPr>
          <w:rFonts w:ascii="Open Sans" w:hAnsi="Open Sans" w:cs="Open Sans"/>
          <w:color w:val="000000"/>
        </w:rPr>
        <w:t xml:space="preserve"> </w:t>
      </w:r>
      <w:r w:rsidR="00F248C4" w:rsidRPr="00DB7E4F">
        <w:rPr>
          <w:rFonts w:ascii="Open Sans" w:hAnsi="Open Sans" w:cs="Open Sans"/>
          <w:color w:val="000000"/>
        </w:rPr>
        <w:t xml:space="preserve"> El </w:t>
      </w:r>
      <w:r w:rsidR="006464DE">
        <w:rPr>
          <w:rFonts w:ascii="Open Sans" w:hAnsi="Open Sans" w:cs="Open Sans"/>
          <w:color w:val="000000"/>
        </w:rPr>
        <w:t>descenso</w:t>
      </w:r>
      <w:r w:rsidR="00F248C4" w:rsidRPr="00DB7E4F">
        <w:rPr>
          <w:rFonts w:ascii="Open Sans" w:hAnsi="Open Sans" w:cs="Open Sans"/>
          <w:color w:val="000000"/>
        </w:rPr>
        <w:t xml:space="preserve"> </w:t>
      </w:r>
      <w:r w:rsidR="0000483C">
        <w:rPr>
          <w:rFonts w:ascii="Open Sans" w:hAnsi="Open Sans" w:cs="Open Sans"/>
          <w:color w:val="000000"/>
        </w:rPr>
        <w:t>mensual</w:t>
      </w:r>
      <w:r w:rsidR="00F248C4">
        <w:rPr>
          <w:rFonts w:ascii="Open Sans" w:hAnsi="Open Sans" w:cs="Open Sans"/>
          <w:color w:val="000000"/>
        </w:rPr>
        <w:t xml:space="preserve"> </w:t>
      </w:r>
      <w:r w:rsidR="00F248C4" w:rsidRPr="00DB7E4F">
        <w:rPr>
          <w:rFonts w:ascii="Open Sans" w:hAnsi="Open Sans" w:cs="Open Sans"/>
          <w:color w:val="000000"/>
        </w:rPr>
        <w:t xml:space="preserve">más acusado lo registra </w:t>
      </w:r>
      <w:r w:rsidR="003A7A2A" w:rsidRPr="003A7A2A">
        <w:rPr>
          <w:rFonts w:ascii="Open Sans" w:hAnsi="Open Sans" w:cs="Open Sans"/>
          <w:color w:val="000000"/>
        </w:rPr>
        <w:t xml:space="preserve">Cuenca </w:t>
      </w:r>
      <w:r w:rsidR="00F248C4">
        <w:rPr>
          <w:rFonts w:ascii="Open Sans" w:hAnsi="Open Sans" w:cs="Open Sans"/>
          <w:color w:val="000000"/>
        </w:rPr>
        <w:t xml:space="preserve">con </w:t>
      </w:r>
      <w:r w:rsidR="006464DE">
        <w:rPr>
          <w:rFonts w:ascii="Open Sans" w:hAnsi="Open Sans" w:cs="Open Sans"/>
          <w:color w:val="000000"/>
        </w:rPr>
        <w:t>-</w:t>
      </w:r>
      <w:r w:rsidR="003A7A2A">
        <w:rPr>
          <w:rFonts w:ascii="Open Sans" w:hAnsi="Open Sans" w:cs="Open Sans"/>
          <w:color w:val="000000"/>
        </w:rPr>
        <w:t>8,3</w:t>
      </w:r>
      <w:r w:rsidR="00F248C4">
        <w:rPr>
          <w:rFonts w:ascii="Open Sans" w:hAnsi="Open Sans" w:cs="Open Sans"/>
          <w:color w:val="000000"/>
        </w:rPr>
        <w:t>%</w:t>
      </w:r>
      <w:r w:rsidR="00733302">
        <w:rPr>
          <w:rFonts w:ascii="Open Sans" w:hAnsi="Open Sans" w:cs="Open Sans"/>
          <w:color w:val="000000"/>
        </w:rPr>
        <w:t>. Le siguen,</w:t>
      </w:r>
      <w:r w:rsidR="00B81DAD">
        <w:rPr>
          <w:rFonts w:ascii="Open Sans" w:hAnsi="Open Sans" w:cs="Open Sans"/>
          <w:color w:val="000000"/>
        </w:rPr>
        <w:t xml:space="preserve"> </w:t>
      </w:r>
      <w:r w:rsidR="003A7A2A" w:rsidRPr="003A7A2A">
        <w:rPr>
          <w:rFonts w:ascii="Open Sans" w:hAnsi="Open Sans" w:cs="Open Sans"/>
          <w:color w:val="000000"/>
        </w:rPr>
        <w:t>Zamora</w:t>
      </w:r>
      <w:r w:rsidR="003A7A2A">
        <w:rPr>
          <w:rFonts w:ascii="Open Sans" w:hAnsi="Open Sans" w:cs="Open Sans"/>
          <w:color w:val="000000"/>
        </w:rPr>
        <w:t xml:space="preserve"> (-5,4%), </w:t>
      </w:r>
      <w:r w:rsidR="003A7A2A" w:rsidRPr="003A7A2A">
        <w:rPr>
          <w:rFonts w:ascii="Open Sans" w:hAnsi="Open Sans" w:cs="Open Sans"/>
          <w:color w:val="000000"/>
        </w:rPr>
        <w:t>Tarragona</w:t>
      </w:r>
      <w:r w:rsidR="003A7A2A">
        <w:rPr>
          <w:rFonts w:ascii="Open Sans" w:hAnsi="Open Sans" w:cs="Open Sans"/>
          <w:color w:val="000000"/>
        </w:rPr>
        <w:t xml:space="preserve"> (-4,1%), </w:t>
      </w:r>
      <w:r w:rsidR="003A7A2A" w:rsidRPr="003A7A2A">
        <w:rPr>
          <w:rFonts w:ascii="Open Sans" w:hAnsi="Open Sans" w:cs="Open Sans"/>
          <w:color w:val="000000"/>
        </w:rPr>
        <w:t>Huelva</w:t>
      </w:r>
      <w:r w:rsidR="003A7A2A">
        <w:rPr>
          <w:rFonts w:ascii="Open Sans" w:hAnsi="Open Sans" w:cs="Open Sans"/>
          <w:color w:val="000000"/>
        </w:rPr>
        <w:t xml:space="preserve"> (-3,8%), </w:t>
      </w:r>
      <w:r w:rsidR="003A7A2A" w:rsidRPr="003A7A2A">
        <w:rPr>
          <w:rFonts w:ascii="Open Sans" w:hAnsi="Open Sans" w:cs="Open Sans"/>
          <w:color w:val="000000"/>
        </w:rPr>
        <w:t>Illes Balears</w:t>
      </w:r>
      <w:r w:rsidR="003A7A2A">
        <w:rPr>
          <w:rFonts w:ascii="Open Sans" w:hAnsi="Open Sans" w:cs="Open Sans"/>
          <w:color w:val="000000"/>
        </w:rPr>
        <w:t xml:space="preserve"> (-3,2%), </w:t>
      </w:r>
      <w:r w:rsidR="003A7A2A" w:rsidRPr="003A7A2A">
        <w:rPr>
          <w:rFonts w:ascii="Open Sans" w:hAnsi="Open Sans" w:cs="Open Sans"/>
          <w:color w:val="000000"/>
        </w:rPr>
        <w:t>Badajoz</w:t>
      </w:r>
      <w:r w:rsidR="003A7A2A">
        <w:rPr>
          <w:rFonts w:ascii="Open Sans" w:hAnsi="Open Sans" w:cs="Open Sans"/>
          <w:color w:val="000000"/>
        </w:rPr>
        <w:t xml:space="preserve"> (-3,1%), </w:t>
      </w:r>
      <w:r w:rsidR="003A7A2A" w:rsidRPr="003A7A2A">
        <w:rPr>
          <w:rFonts w:ascii="Open Sans" w:hAnsi="Open Sans" w:cs="Open Sans"/>
          <w:color w:val="000000"/>
        </w:rPr>
        <w:t>Murcia</w:t>
      </w:r>
      <w:r w:rsidR="003A7A2A">
        <w:rPr>
          <w:rFonts w:ascii="Open Sans" w:hAnsi="Open Sans" w:cs="Open Sans"/>
          <w:color w:val="000000"/>
        </w:rPr>
        <w:t xml:space="preserve"> (-3%), </w:t>
      </w:r>
      <w:r w:rsidR="003A7A2A" w:rsidRPr="003A7A2A">
        <w:rPr>
          <w:rFonts w:ascii="Open Sans" w:hAnsi="Open Sans" w:cs="Open Sans"/>
          <w:color w:val="000000"/>
        </w:rPr>
        <w:t>Salamanca</w:t>
      </w:r>
      <w:r w:rsidR="003A7A2A">
        <w:rPr>
          <w:rFonts w:ascii="Open Sans" w:hAnsi="Open Sans" w:cs="Open Sans"/>
          <w:color w:val="000000"/>
        </w:rPr>
        <w:t xml:space="preserve"> (-2,9%), C</w:t>
      </w:r>
      <w:r w:rsidR="003A7A2A" w:rsidRPr="003A7A2A">
        <w:rPr>
          <w:rFonts w:ascii="Open Sans" w:hAnsi="Open Sans" w:cs="Open Sans"/>
          <w:color w:val="000000"/>
        </w:rPr>
        <w:t>astellón</w:t>
      </w:r>
      <w:r w:rsidR="003A7A2A">
        <w:rPr>
          <w:rFonts w:ascii="Open Sans" w:hAnsi="Open Sans" w:cs="Open Sans"/>
          <w:color w:val="000000"/>
        </w:rPr>
        <w:t xml:space="preserve"> (-2,5%) y </w:t>
      </w:r>
      <w:r w:rsidR="003A7A2A" w:rsidRPr="003A7A2A">
        <w:rPr>
          <w:rFonts w:ascii="Open Sans" w:hAnsi="Open Sans" w:cs="Open Sans"/>
          <w:color w:val="000000"/>
        </w:rPr>
        <w:t>Valladolid</w:t>
      </w:r>
      <w:r w:rsidR="003A7A2A">
        <w:rPr>
          <w:rFonts w:ascii="Open Sans" w:hAnsi="Open Sans" w:cs="Open Sans"/>
          <w:color w:val="000000"/>
        </w:rPr>
        <w:t xml:space="preserve"> (-1,6%).</w:t>
      </w:r>
    </w:p>
    <w:p w14:paraId="7AB3AD8C" w14:textId="1C1B3831" w:rsidR="003A7A2A" w:rsidRDefault="0000483C" w:rsidP="003A7A2A">
      <w:pPr>
        <w:pStyle w:val="NormalWeb"/>
        <w:shd w:val="clear" w:color="auto" w:fill="FFFFFF"/>
        <w:spacing w:after="225" w:line="276" w:lineRule="auto"/>
        <w:ind w:right="-574"/>
        <w:jc w:val="both"/>
        <w:rPr>
          <w:rFonts w:ascii="Open Sans" w:hAnsi="Open Sans" w:cs="Open Sans"/>
          <w:color w:val="000000"/>
        </w:rPr>
      </w:pPr>
      <w:r>
        <w:rPr>
          <w:rFonts w:ascii="Open Sans" w:hAnsi="Open Sans" w:cs="Open Sans"/>
          <w:color w:val="000000"/>
        </w:rPr>
        <w:t xml:space="preserve">Por otro lado, </w:t>
      </w:r>
      <w:r w:rsidR="00733302">
        <w:rPr>
          <w:rFonts w:ascii="Open Sans" w:hAnsi="Open Sans" w:cs="Open Sans"/>
          <w:color w:val="000000"/>
        </w:rPr>
        <w:t xml:space="preserve">las </w:t>
      </w:r>
      <w:r w:rsidR="006464DE">
        <w:rPr>
          <w:rFonts w:ascii="Open Sans" w:hAnsi="Open Sans" w:cs="Open Sans"/>
          <w:color w:val="000000"/>
        </w:rPr>
        <w:t xml:space="preserve">diez </w:t>
      </w:r>
      <w:r w:rsidR="00544C20">
        <w:rPr>
          <w:rFonts w:ascii="Open Sans" w:hAnsi="Open Sans" w:cs="Open Sans"/>
          <w:color w:val="000000"/>
        </w:rPr>
        <w:t xml:space="preserve">primeras </w:t>
      </w:r>
      <w:r w:rsidR="00733302">
        <w:rPr>
          <w:rFonts w:ascii="Open Sans" w:hAnsi="Open Sans" w:cs="Open Sans"/>
          <w:color w:val="000000"/>
        </w:rPr>
        <w:t xml:space="preserve">provincias con </w:t>
      </w:r>
      <w:r w:rsidR="006464DE">
        <w:rPr>
          <w:rFonts w:ascii="Open Sans" w:hAnsi="Open Sans" w:cs="Open Sans"/>
          <w:color w:val="000000"/>
        </w:rPr>
        <w:t>incremento</w:t>
      </w:r>
      <w:r w:rsidR="00544C20">
        <w:rPr>
          <w:rFonts w:ascii="Open Sans" w:hAnsi="Open Sans" w:cs="Open Sans"/>
          <w:color w:val="000000"/>
        </w:rPr>
        <w:t>s</w:t>
      </w:r>
      <w:r w:rsidR="00733302">
        <w:rPr>
          <w:rFonts w:ascii="Open Sans" w:hAnsi="Open Sans" w:cs="Open Sans"/>
          <w:color w:val="000000"/>
        </w:rPr>
        <w:t xml:space="preserve"> son:</w:t>
      </w:r>
      <w:r w:rsidR="00733302" w:rsidRPr="006464DE">
        <w:rPr>
          <w:rFonts w:ascii="Open Sans" w:hAnsi="Open Sans" w:cs="Open Sans"/>
          <w:color w:val="000000"/>
        </w:rPr>
        <w:t xml:space="preserve"> </w:t>
      </w:r>
      <w:r w:rsidR="003A7A2A" w:rsidRPr="003A7A2A">
        <w:rPr>
          <w:rFonts w:ascii="Open Sans" w:hAnsi="Open Sans" w:cs="Open Sans"/>
          <w:color w:val="000000"/>
        </w:rPr>
        <w:t>Lugo</w:t>
      </w:r>
      <w:r w:rsidR="003A7A2A">
        <w:rPr>
          <w:rFonts w:ascii="Open Sans" w:hAnsi="Open Sans" w:cs="Open Sans"/>
          <w:color w:val="000000"/>
        </w:rPr>
        <w:t xml:space="preserve"> (3,3%), </w:t>
      </w:r>
      <w:r w:rsidR="003A7A2A" w:rsidRPr="003A7A2A">
        <w:rPr>
          <w:rFonts w:ascii="Open Sans" w:hAnsi="Open Sans" w:cs="Open Sans"/>
          <w:color w:val="000000"/>
        </w:rPr>
        <w:t>Jaén</w:t>
      </w:r>
      <w:r w:rsidR="003A7A2A">
        <w:rPr>
          <w:rFonts w:ascii="Open Sans" w:hAnsi="Open Sans" w:cs="Open Sans"/>
          <w:color w:val="000000"/>
        </w:rPr>
        <w:t xml:space="preserve"> (3,2%), </w:t>
      </w:r>
      <w:r w:rsidR="003A7A2A" w:rsidRPr="003A7A2A">
        <w:rPr>
          <w:rFonts w:ascii="Open Sans" w:hAnsi="Open Sans" w:cs="Open Sans"/>
          <w:color w:val="000000"/>
        </w:rPr>
        <w:t>La Rioja</w:t>
      </w:r>
      <w:r w:rsidR="003A7A2A">
        <w:rPr>
          <w:rFonts w:ascii="Open Sans" w:hAnsi="Open Sans" w:cs="Open Sans"/>
          <w:color w:val="000000"/>
        </w:rPr>
        <w:t xml:space="preserve"> (2,6%), </w:t>
      </w:r>
      <w:r w:rsidR="003A7A2A" w:rsidRPr="003A7A2A">
        <w:rPr>
          <w:rFonts w:ascii="Open Sans" w:hAnsi="Open Sans" w:cs="Open Sans"/>
          <w:color w:val="000000"/>
        </w:rPr>
        <w:t>Albacete</w:t>
      </w:r>
      <w:r w:rsidR="003A7A2A">
        <w:rPr>
          <w:rFonts w:ascii="Open Sans" w:hAnsi="Open Sans" w:cs="Open Sans"/>
          <w:color w:val="000000"/>
        </w:rPr>
        <w:t xml:space="preserve"> (2,3%), </w:t>
      </w:r>
      <w:r w:rsidR="003A7A2A" w:rsidRPr="003A7A2A">
        <w:rPr>
          <w:rFonts w:ascii="Open Sans" w:hAnsi="Open Sans" w:cs="Open Sans"/>
          <w:color w:val="000000"/>
        </w:rPr>
        <w:t>Pontevedra</w:t>
      </w:r>
      <w:r w:rsidR="003A7A2A">
        <w:rPr>
          <w:rFonts w:ascii="Open Sans" w:hAnsi="Open Sans" w:cs="Open Sans"/>
          <w:color w:val="000000"/>
        </w:rPr>
        <w:t xml:space="preserve"> (1,5%), </w:t>
      </w:r>
      <w:r w:rsidR="003A7A2A" w:rsidRPr="003A7A2A">
        <w:rPr>
          <w:rFonts w:ascii="Open Sans" w:hAnsi="Open Sans" w:cs="Open Sans"/>
          <w:color w:val="000000"/>
        </w:rPr>
        <w:t>Ávila</w:t>
      </w:r>
      <w:r w:rsidR="003A7A2A">
        <w:rPr>
          <w:rFonts w:ascii="Open Sans" w:hAnsi="Open Sans" w:cs="Open Sans"/>
          <w:color w:val="000000"/>
        </w:rPr>
        <w:t xml:space="preserve"> (1,5%), </w:t>
      </w:r>
      <w:r w:rsidR="003A7A2A" w:rsidRPr="003A7A2A">
        <w:rPr>
          <w:rFonts w:ascii="Open Sans" w:hAnsi="Open Sans" w:cs="Open Sans"/>
          <w:color w:val="000000"/>
        </w:rPr>
        <w:t>Girona</w:t>
      </w:r>
      <w:r w:rsidR="003A7A2A">
        <w:rPr>
          <w:rFonts w:ascii="Open Sans" w:hAnsi="Open Sans" w:cs="Open Sans"/>
          <w:color w:val="000000"/>
        </w:rPr>
        <w:t xml:space="preserve"> (1,3%), </w:t>
      </w:r>
      <w:r w:rsidR="003A7A2A" w:rsidRPr="003A7A2A">
        <w:rPr>
          <w:rFonts w:ascii="Open Sans" w:hAnsi="Open Sans" w:cs="Open Sans"/>
          <w:color w:val="000000"/>
        </w:rPr>
        <w:t>Gipuzkoa</w:t>
      </w:r>
      <w:r w:rsidR="003A7A2A">
        <w:rPr>
          <w:rFonts w:ascii="Open Sans" w:hAnsi="Open Sans" w:cs="Open Sans"/>
          <w:color w:val="000000"/>
        </w:rPr>
        <w:t xml:space="preserve"> (1,2%), </w:t>
      </w:r>
      <w:r w:rsidR="003A7A2A" w:rsidRPr="003A7A2A">
        <w:rPr>
          <w:rFonts w:ascii="Open Sans" w:hAnsi="Open Sans" w:cs="Open Sans"/>
          <w:color w:val="000000"/>
        </w:rPr>
        <w:t>Araba - Álava</w:t>
      </w:r>
      <w:r w:rsidR="003A7A2A">
        <w:rPr>
          <w:rFonts w:ascii="Open Sans" w:hAnsi="Open Sans" w:cs="Open Sans"/>
          <w:color w:val="000000"/>
        </w:rPr>
        <w:t xml:space="preserve"> (1,1%) y </w:t>
      </w:r>
      <w:r w:rsidR="003A7A2A" w:rsidRPr="003A7A2A">
        <w:rPr>
          <w:rFonts w:ascii="Open Sans" w:hAnsi="Open Sans" w:cs="Open Sans"/>
          <w:color w:val="000000"/>
        </w:rPr>
        <w:t>Zaragoza</w:t>
      </w:r>
      <w:r w:rsidR="003A7A2A">
        <w:rPr>
          <w:rFonts w:ascii="Open Sans" w:hAnsi="Open Sans" w:cs="Open Sans"/>
          <w:color w:val="000000"/>
        </w:rPr>
        <w:t xml:space="preserve"> (0,8%). </w:t>
      </w:r>
    </w:p>
    <w:p w14:paraId="07A0698A" w14:textId="1CF46E94" w:rsidR="00572505" w:rsidRDefault="00572505" w:rsidP="00572505">
      <w:pPr>
        <w:spacing w:line="276" w:lineRule="auto"/>
        <w:ind w:right="-574"/>
        <w:jc w:val="both"/>
        <w:rPr>
          <w:rFonts w:ascii="Open Sans" w:hAnsi="Open Sans" w:cs="Open Sans"/>
          <w:color w:val="000000"/>
        </w:rPr>
      </w:pPr>
      <w:r w:rsidRPr="004272DD">
        <w:rPr>
          <w:rFonts w:ascii="Open Sans" w:hAnsi="Open Sans" w:cs="Open Sans"/>
          <w:color w:val="000000"/>
        </w:rPr>
        <w:t>En cuanto a los precios,</w:t>
      </w:r>
      <w:r>
        <w:rPr>
          <w:rFonts w:ascii="Open Sans" w:hAnsi="Open Sans" w:cs="Open Sans"/>
          <w:color w:val="000000"/>
        </w:rPr>
        <w:t xml:space="preserve"> </w:t>
      </w:r>
      <w:r w:rsidR="0093651E">
        <w:rPr>
          <w:rFonts w:ascii="Open Sans" w:hAnsi="Open Sans" w:cs="Open Sans"/>
          <w:color w:val="000000"/>
        </w:rPr>
        <w:t>siete</w:t>
      </w:r>
      <w:r>
        <w:rPr>
          <w:rFonts w:ascii="Open Sans" w:hAnsi="Open Sans" w:cs="Open Sans"/>
          <w:color w:val="000000"/>
        </w:rPr>
        <w:t xml:space="preserve"> provincias superan los 10,00 euros el metro cuadrado al mes. La provincia m</w:t>
      </w:r>
      <w:r w:rsidRPr="004272DD">
        <w:rPr>
          <w:rFonts w:ascii="Open Sans" w:hAnsi="Open Sans" w:cs="Open Sans"/>
          <w:color w:val="000000"/>
        </w:rPr>
        <w:t xml:space="preserve">ás cara </w:t>
      </w:r>
      <w:r>
        <w:rPr>
          <w:rFonts w:ascii="Open Sans" w:hAnsi="Open Sans" w:cs="Open Sans"/>
          <w:color w:val="000000"/>
        </w:rPr>
        <w:t xml:space="preserve">es </w:t>
      </w:r>
      <w:r w:rsidR="0093651E" w:rsidRPr="0093651E">
        <w:rPr>
          <w:rFonts w:ascii="Open Sans" w:hAnsi="Open Sans" w:cs="Open Sans"/>
          <w:color w:val="000000"/>
        </w:rPr>
        <w:t>Gipuzkoa</w:t>
      </w:r>
      <w:r w:rsidR="0093651E">
        <w:rPr>
          <w:rFonts w:ascii="Open Sans" w:hAnsi="Open Sans" w:cs="Open Sans"/>
          <w:color w:val="000000"/>
        </w:rPr>
        <w:t xml:space="preserve"> </w:t>
      </w:r>
      <w:r>
        <w:rPr>
          <w:rFonts w:ascii="Open Sans" w:hAnsi="Open Sans" w:cs="Open Sans"/>
          <w:color w:val="000000"/>
        </w:rPr>
        <w:t xml:space="preserve">con </w:t>
      </w:r>
      <w:r w:rsidR="009A7C5D">
        <w:rPr>
          <w:rFonts w:ascii="Open Sans" w:hAnsi="Open Sans" w:cs="Open Sans"/>
          <w:color w:val="000000"/>
        </w:rPr>
        <w:t>15,4</w:t>
      </w:r>
      <w:r w:rsidR="0093651E">
        <w:rPr>
          <w:rFonts w:ascii="Open Sans" w:hAnsi="Open Sans" w:cs="Open Sans"/>
          <w:color w:val="000000"/>
        </w:rPr>
        <w:t>4</w:t>
      </w:r>
      <w:r>
        <w:rPr>
          <w:rFonts w:ascii="Open Sans" w:hAnsi="Open Sans" w:cs="Open Sans"/>
          <w:color w:val="000000"/>
        </w:rPr>
        <w:t xml:space="preserve"> </w:t>
      </w:r>
      <w:r w:rsidRPr="004272DD">
        <w:rPr>
          <w:rFonts w:ascii="Open Sans" w:hAnsi="Open Sans" w:cs="Open Sans"/>
          <w:color w:val="000000"/>
        </w:rPr>
        <w:t>€/m</w:t>
      </w:r>
      <w:r w:rsidRPr="00104D5B">
        <w:rPr>
          <w:rFonts w:ascii="Open Sans" w:hAnsi="Open Sans" w:cs="Open Sans"/>
          <w:color w:val="000000"/>
          <w:vertAlign w:val="superscript"/>
        </w:rPr>
        <w:t>2</w:t>
      </w:r>
      <w:r>
        <w:rPr>
          <w:rFonts w:ascii="Open Sans" w:hAnsi="Open Sans" w:cs="Open Sans"/>
          <w:color w:val="000000"/>
          <w:vertAlign w:val="superscript"/>
        </w:rPr>
        <w:t xml:space="preserve"> </w:t>
      </w:r>
      <w:r w:rsidRPr="0090092A">
        <w:rPr>
          <w:rFonts w:ascii="Open Sans" w:hAnsi="Open Sans" w:cs="Open Sans"/>
          <w:color w:val="000000"/>
        </w:rPr>
        <w:t>al mes</w:t>
      </w:r>
      <w:r w:rsidRPr="004272DD">
        <w:rPr>
          <w:rFonts w:ascii="Open Sans" w:hAnsi="Open Sans" w:cs="Open Sans"/>
          <w:color w:val="000000"/>
        </w:rPr>
        <w:t xml:space="preserve">, seguida de </w:t>
      </w:r>
      <w:r w:rsidR="0093651E">
        <w:rPr>
          <w:rFonts w:ascii="Open Sans" w:hAnsi="Open Sans" w:cs="Open Sans"/>
          <w:color w:val="000000"/>
        </w:rPr>
        <w:t>Barcelona</w:t>
      </w:r>
      <w:r w:rsidR="009A7C5D" w:rsidRPr="00DB0D52">
        <w:rPr>
          <w:rFonts w:ascii="Open Sans" w:hAnsi="Open Sans" w:cs="Open Sans"/>
          <w:color w:val="000000"/>
        </w:rPr>
        <w:t xml:space="preserve"> </w:t>
      </w:r>
      <w:r>
        <w:rPr>
          <w:rFonts w:ascii="Open Sans" w:hAnsi="Open Sans" w:cs="Open Sans"/>
          <w:color w:val="000000"/>
        </w:rPr>
        <w:t>(15,</w:t>
      </w:r>
      <w:r w:rsidR="0093651E">
        <w:rPr>
          <w:rFonts w:ascii="Open Sans" w:hAnsi="Open Sans" w:cs="Open Sans"/>
          <w:color w:val="000000"/>
        </w:rPr>
        <w:t>2</w:t>
      </w:r>
      <w:r w:rsidR="005E24F6">
        <w:rPr>
          <w:rFonts w:ascii="Open Sans" w:hAnsi="Open Sans" w:cs="Open Sans"/>
          <w:color w:val="000000"/>
        </w:rPr>
        <w:t>1</w:t>
      </w:r>
      <w:r w:rsidR="001E0C8F">
        <w:rPr>
          <w:rFonts w:ascii="Open Sans" w:hAnsi="Open Sans" w:cs="Open Sans"/>
          <w:color w:val="000000"/>
        </w:rPr>
        <w:t xml:space="preserve"> </w:t>
      </w:r>
      <w:r w:rsidRPr="004272DD">
        <w:rPr>
          <w:rFonts w:ascii="Open Sans" w:hAnsi="Open Sans" w:cs="Open Sans"/>
          <w:color w:val="000000"/>
        </w:rPr>
        <w:t>€/m</w:t>
      </w:r>
      <w:r w:rsidRPr="00104D5B">
        <w:rPr>
          <w:rFonts w:ascii="Open Sans" w:hAnsi="Open Sans" w:cs="Open Sans"/>
          <w:color w:val="000000"/>
          <w:vertAlign w:val="superscript"/>
        </w:rPr>
        <w:t>2</w:t>
      </w:r>
      <w:r w:rsidRPr="0090092A">
        <w:rPr>
          <w:rFonts w:ascii="Open Sans" w:hAnsi="Open Sans" w:cs="Open Sans"/>
          <w:color w:val="000000"/>
        </w:rPr>
        <w:t xml:space="preserve"> al mes</w:t>
      </w:r>
      <w:r>
        <w:rPr>
          <w:rFonts w:ascii="Open Sans" w:hAnsi="Open Sans" w:cs="Open Sans"/>
          <w:color w:val="000000"/>
        </w:rPr>
        <w:t>),</w:t>
      </w:r>
      <w:r w:rsidRPr="004272DD">
        <w:rPr>
          <w:rFonts w:ascii="Open Sans" w:hAnsi="Open Sans" w:cs="Open Sans"/>
          <w:color w:val="000000"/>
        </w:rPr>
        <w:t xml:space="preserve"> </w:t>
      </w:r>
      <w:r w:rsidR="009A7C5D">
        <w:rPr>
          <w:rFonts w:ascii="Open Sans" w:hAnsi="Open Sans" w:cs="Open Sans"/>
          <w:color w:val="000000"/>
        </w:rPr>
        <w:t>Madrid</w:t>
      </w:r>
      <w:r w:rsidR="009A7C5D" w:rsidRPr="001B0D22">
        <w:rPr>
          <w:rFonts w:ascii="Open Sans" w:hAnsi="Open Sans" w:cs="Open Sans"/>
          <w:color w:val="000000"/>
        </w:rPr>
        <w:t xml:space="preserve"> </w:t>
      </w:r>
      <w:r>
        <w:rPr>
          <w:rFonts w:ascii="Open Sans" w:hAnsi="Open Sans" w:cs="Open Sans"/>
          <w:color w:val="000000"/>
        </w:rPr>
        <w:t>(</w:t>
      </w:r>
      <w:r w:rsidR="009A7C5D">
        <w:rPr>
          <w:rFonts w:ascii="Open Sans" w:hAnsi="Open Sans" w:cs="Open Sans"/>
          <w:color w:val="000000"/>
        </w:rPr>
        <w:t>1</w:t>
      </w:r>
      <w:r w:rsidR="005E24F6">
        <w:rPr>
          <w:rFonts w:ascii="Open Sans" w:hAnsi="Open Sans" w:cs="Open Sans"/>
          <w:color w:val="000000"/>
        </w:rPr>
        <w:t>4,</w:t>
      </w:r>
      <w:r w:rsidR="0093651E">
        <w:rPr>
          <w:rFonts w:ascii="Open Sans" w:hAnsi="Open Sans" w:cs="Open Sans"/>
          <w:color w:val="000000"/>
        </w:rPr>
        <w:t>51</w:t>
      </w:r>
      <w:r>
        <w:rPr>
          <w:rFonts w:ascii="Open Sans" w:hAnsi="Open Sans" w:cs="Open Sans"/>
          <w:color w:val="000000"/>
        </w:rPr>
        <w:t xml:space="preserve"> </w:t>
      </w:r>
      <w:r w:rsidRPr="004272DD">
        <w:rPr>
          <w:rFonts w:ascii="Open Sans" w:hAnsi="Open Sans" w:cs="Open Sans"/>
          <w:color w:val="000000"/>
        </w:rPr>
        <w:t>€/m</w:t>
      </w:r>
      <w:r w:rsidRPr="00104D5B">
        <w:rPr>
          <w:rFonts w:ascii="Open Sans" w:hAnsi="Open Sans" w:cs="Open Sans"/>
          <w:color w:val="000000"/>
          <w:vertAlign w:val="superscript"/>
        </w:rPr>
        <w:t>2</w:t>
      </w:r>
      <w:r w:rsidRPr="0090092A">
        <w:rPr>
          <w:rFonts w:ascii="Open Sans" w:hAnsi="Open Sans" w:cs="Open Sans"/>
          <w:color w:val="000000"/>
        </w:rPr>
        <w:t xml:space="preserve"> al mes</w:t>
      </w:r>
      <w:r>
        <w:rPr>
          <w:rFonts w:ascii="Open Sans" w:hAnsi="Open Sans" w:cs="Open Sans"/>
          <w:color w:val="000000"/>
        </w:rPr>
        <w:t xml:space="preserve">), </w:t>
      </w:r>
      <w:r w:rsidR="009A7C5D" w:rsidRPr="00DB0D52">
        <w:rPr>
          <w:rFonts w:ascii="Open Sans" w:hAnsi="Open Sans" w:cs="Open Sans"/>
          <w:color w:val="000000"/>
        </w:rPr>
        <w:t xml:space="preserve">Bizkaia </w:t>
      </w:r>
      <w:r>
        <w:rPr>
          <w:rFonts w:ascii="Open Sans" w:hAnsi="Open Sans" w:cs="Open Sans"/>
          <w:color w:val="000000"/>
        </w:rPr>
        <w:t>(</w:t>
      </w:r>
      <w:r w:rsidR="003D6206">
        <w:rPr>
          <w:rFonts w:ascii="Open Sans" w:hAnsi="Open Sans" w:cs="Open Sans"/>
          <w:color w:val="000000"/>
        </w:rPr>
        <w:t>12,</w:t>
      </w:r>
      <w:r w:rsidR="0093651E">
        <w:rPr>
          <w:rFonts w:ascii="Open Sans" w:hAnsi="Open Sans" w:cs="Open Sans"/>
          <w:color w:val="000000"/>
        </w:rPr>
        <w:t>68</w:t>
      </w:r>
      <w:r>
        <w:rPr>
          <w:rFonts w:ascii="Open Sans" w:hAnsi="Open Sans" w:cs="Open Sans"/>
          <w:color w:val="000000"/>
        </w:rPr>
        <w:t xml:space="preserve"> </w:t>
      </w:r>
      <w:r w:rsidRPr="004272DD">
        <w:rPr>
          <w:rFonts w:ascii="Open Sans" w:hAnsi="Open Sans" w:cs="Open Sans"/>
          <w:color w:val="000000"/>
        </w:rPr>
        <w:t>€/m</w:t>
      </w:r>
      <w:r w:rsidRPr="00104D5B">
        <w:rPr>
          <w:rFonts w:ascii="Open Sans" w:hAnsi="Open Sans" w:cs="Open Sans"/>
          <w:color w:val="000000"/>
          <w:vertAlign w:val="superscript"/>
        </w:rPr>
        <w:t>2</w:t>
      </w:r>
      <w:r w:rsidRPr="0090092A">
        <w:rPr>
          <w:rFonts w:ascii="Open Sans" w:hAnsi="Open Sans" w:cs="Open Sans"/>
          <w:color w:val="000000"/>
        </w:rPr>
        <w:t xml:space="preserve"> al mes</w:t>
      </w:r>
      <w:r>
        <w:rPr>
          <w:rFonts w:ascii="Open Sans" w:hAnsi="Open Sans" w:cs="Open Sans"/>
          <w:color w:val="000000"/>
        </w:rPr>
        <w:t>)</w:t>
      </w:r>
      <w:r w:rsidR="005E24F6">
        <w:rPr>
          <w:rFonts w:ascii="Open Sans" w:hAnsi="Open Sans" w:cs="Open Sans"/>
          <w:color w:val="000000"/>
        </w:rPr>
        <w:t xml:space="preserve">, </w:t>
      </w:r>
      <w:r w:rsidR="009A7C5D" w:rsidRPr="00DB0D52">
        <w:rPr>
          <w:rFonts w:ascii="Open Sans" w:hAnsi="Open Sans" w:cs="Open Sans"/>
          <w:color w:val="000000"/>
        </w:rPr>
        <w:t xml:space="preserve">Illes Balears </w:t>
      </w:r>
      <w:r>
        <w:rPr>
          <w:rFonts w:ascii="Open Sans" w:hAnsi="Open Sans" w:cs="Open Sans"/>
          <w:color w:val="000000"/>
        </w:rPr>
        <w:t>(</w:t>
      </w:r>
      <w:r w:rsidR="0093651E">
        <w:rPr>
          <w:rFonts w:ascii="Open Sans" w:hAnsi="Open Sans" w:cs="Open Sans"/>
          <w:color w:val="000000"/>
        </w:rPr>
        <w:t>11,64</w:t>
      </w:r>
      <w:r w:rsidR="00977FF5">
        <w:rPr>
          <w:rFonts w:ascii="Open Sans" w:hAnsi="Open Sans" w:cs="Open Sans"/>
          <w:color w:val="000000"/>
        </w:rPr>
        <w:t xml:space="preserve"> </w:t>
      </w:r>
      <w:r w:rsidRPr="004272DD">
        <w:rPr>
          <w:rFonts w:ascii="Open Sans" w:hAnsi="Open Sans" w:cs="Open Sans"/>
          <w:color w:val="000000"/>
        </w:rPr>
        <w:t>€/m</w:t>
      </w:r>
      <w:r w:rsidRPr="00104D5B">
        <w:rPr>
          <w:rFonts w:ascii="Open Sans" w:hAnsi="Open Sans" w:cs="Open Sans"/>
          <w:color w:val="000000"/>
          <w:vertAlign w:val="superscript"/>
        </w:rPr>
        <w:t>2</w:t>
      </w:r>
      <w:r w:rsidRPr="0090092A">
        <w:rPr>
          <w:rFonts w:ascii="Open Sans" w:hAnsi="Open Sans" w:cs="Open Sans"/>
          <w:color w:val="000000"/>
        </w:rPr>
        <w:t xml:space="preserve"> al mes</w:t>
      </w:r>
      <w:r>
        <w:rPr>
          <w:rFonts w:ascii="Open Sans" w:hAnsi="Open Sans" w:cs="Open Sans"/>
          <w:color w:val="000000"/>
        </w:rPr>
        <w:t>)</w:t>
      </w:r>
      <w:r w:rsidR="0093651E">
        <w:rPr>
          <w:rFonts w:ascii="Open Sans" w:hAnsi="Open Sans" w:cs="Open Sans"/>
          <w:color w:val="000000"/>
        </w:rPr>
        <w:t xml:space="preserve">, </w:t>
      </w:r>
      <w:r w:rsidR="0093651E" w:rsidRPr="0093651E">
        <w:rPr>
          <w:rFonts w:ascii="Open Sans" w:hAnsi="Open Sans" w:cs="Open Sans"/>
          <w:color w:val="000000"/>
        </w:rPr>
        <w:t xml:space="preserve">Araba - Álava </w:t>
      </w:r>
      <w:r w:rsidR="0093651E">
        <w:rPr>
          <w:rFonts w:ascii="Open Sans" w:hAnsi="Open Sans" w:cs="Open Sans"/>
          <w:color w:val="000000"/>
        </w:rPr>
        <w:t xml:space="preserve">(10,10 </w:t>
      </w:r>
      <w:r w:rsidR="0093651E" w:rsidRPr="004272DD">
        <w:rPr>
          <w:rFonts w:ascii="Open Sans" w:hAnsi="Open Sans" w:cs="Open Sans"/>
          <w:color w:val="000000"/>
        </w:rPr>
        <w:t>€/m</w:t>
      </w:r>
      <w:r w:rsidR="0093651E" w:rsidRPr="00104D5B">
        <w:rPr>
          <w:rFonts w:ascii="Open Sans" w:hAnsi="Open Sans" w:cs="Open Sans"/>
          <w:color w:val="000000"/>
          <w:vertAlign w:val="superscript"/>
        </w:rPr>
        <w:t>2</w:t>
      </w:r>
      <w:r w:rsidR="0093651E" w:rsidRPr="0090092A">
        <w:rPr>
          <w:rFonts w:ascii="Open Sans" w:hAnsi="Open Sans" w:cs="Open Sans"/>
          <w:color w:val="000000"/>
        </w:rPr>
        <w:t xml:space="preserve"> al mes</w:t>
      </w:r>
      <w:r w:rsidR="0093651E">
        <w:rPr>
          <w:rFonts w:ascii="Open Sans" w:hAnsi="Open Sans" w:cs="Open Sans"/>
          <w:color w:val="000000"/>
        </w:rPr>
        <w:t>)</w:t>
      </w:r>
      <w:r w:rsidR="005E24F6">
        <w:rPr>
          <w:rFonts w:ascii="Open Sans" w:hAnsi="Open Sans" w:cs="Open Sans"/>
          <w:color w:val="000000"/>
        </w:rPr>
        <w:t xml:space="preserve"> y Las Palmas (10,0</w:t>
      </w:r>
      <w:r w:rsidR="0093651E">
        <w:rPr>
          <w:rFonts w:ascii="Open Sans" w:hAnsi="Open Sans" w:cs="Open Sans"/>
          <w:color w:val="000000"/>
        </w:rPr>
        <w:t>2</w:t>
      </w:r>
      <w:r w:rsidR="005E24F6">
        <w:rPr>
          <w:rFonts w:ascii="Open Sans" w:hAnsi="Open Sans" w:cs="Open Sans"/>
          <w:color w:val="000000"/>
        </w:rPr>
        <w:t xml:space="preserve"> </w:t>
      </w:r>
      <w:r w:rsidR="005E24F6" w:rsidRPr="004272DD">
        <w:rPr>
          <w:rFonts w:ascii="Open Sans" w:hAnsi="Open Sans" w:cs="Open Sans"/>
          <w:color w:val="000000"/>
        </w:rPr>
        <w:t>€/m</w:t>
      </w:r>
      <w:r w:rsidR="005E24F6" w:rsidRPr="00104D5B">
        <w:rPr>
          <w:rFonts w:ascii="Open Sans" w:hAnsi="Open Sans" w:cs="Open Sans"/>
          <w:color w:val="000000"/>
          <w:vertAlign w:val="superscript"/>
        </w:rPr>
        <w:t>2</w:t>
      </w:r>
      <w:r w:rsidR="005E24F6" w:rsidRPr="0090092A">
        <w:rPr>
          <w:rFonts w:ascii="Open Sans" w:hAnsi="Open Sans" w:cs="Open Sans"/>
          <w:color w:val="000000"/>
        </w:rPr>
        <w:t xml:space="preserve"> al mes</w:t>
      </w:r>
      <w:r w:rsidR="005E24F6">
        <w:rPr>
          <w:rFonts w:ascii="Open Sans" w:hAnsi="Open Sans" w:cs="Open Sans"/>
          <w:color w:val="000000"/>
        </w:rPr>
        <w:t xml:space="preserve">). </w:t>
      </w:r>
      <w:r w:rsidR="009A7C5D">
        <w:rPr>
          <w:rFonts w:ascii="Open Sans" w:hAnsi="Open Sans" w:cs="Open Sans"/>
          <w:color w:val="000000"/>
        </w:rPr>
        <w:t xml:space="preserve"> </w:t>
      </w:r>
      <w:r>
        <w:rPr>
          <w:rFonts w:ascii="Open Sans" w:hAnsi="Open Sans" w:cs="Open Sans"/>
          <w:color w:val="000000"/>
        </w:rPr>
        <w:t xml:space="preserve">Por otro lado, la provincia con el precio </w:t>
      </w:r>
      <w:r w:rsidR="009A7C5D">
        <w:rPr>
          <w:rFonts w:ascii="Open Sans" w:hAnsi="Open Sans" w:cs="Open Sans"/>
          <w:color w:val="000000"/>
        </w:rPr>
        <w:t>más</w:t>
      </w:r>
      <w:r>
        <w:rPr>
          <w:rFonts w:ascii="Open Sans" w:hAnsi="Open Sans" w:cs="Open Sans"/>
          <w:color w:val="000000"/>
        </w:rPr>
        <w:t xml:space="preserve"> debajo es </w:t>
      </w:r>
      <w:r w:rsidR="0093651E" w:rsidRPr="0093651E">
        <w:rPr>
          <w:rFonts w:ascii="Open Sans" w:hAnsi="Open Sans" w:cs="Open Sans"/>
          <w:color w:val="000000"/>
        </w:rPr>
        <w:t>Cuenca</w:t>
      </w:r>
      <w:r w:rsidR="0093651E">
        <w:rPr>
          <w:rFonts w:ascii="Open Sans" w:hAnsi="Open Sans" w:cs="Open Sans"/>
          <w:color w:val="000000"/>
        </w:rPr>
        <w:t xml:space="preserve"> </w:t>
      </w:r>
      <w:r>
        <w:rPr>
          <w:rFonts w:ascii="Open Sans" w:hAnsi="Open Sans" w:cs="Open Sans"/>
          <w:color w:val="000000"/>
        </w:rPr>
        <w:t xml:space="preserve">con </w:t>
      </w:r>
      <w:r w:rsidR="005E24F6">
        <w:rPr>
          <w:rFonts w:ascii="Open Sans" w:hAnsi="Open Sans" w:cs="Open Sans"/>
          <w:color w:val="000000"/>
        </w:rPr>
        <w:t>4,</w:t>
      </w:r>
      <w:r w:rsidR="0093651E">
        <w:rPr>
          <w:rFonts w:ascii="Open Sans" w:hAnsi="Open Sans" w:cs="Open Sans"/>
          <w:color w:val="000000"/>
        </w:rPr>
        <w:t>85</w:t>
      </w:r>
      <w:r>
        <w:rPr>
          <w:rFonts w:ascii="Open Sans" w:hAnsi="Open Sans" w:cs="Open Sans"/>
          <w:color w:val="000000"/>
        </w:rPr>
        <w:t xml:space="preserve"> </w:t>
      </w:r>
      <w:r w:rsidRPr="004272DD">
        <w:rPr>
          <w:rFonts w:ascii="Open Sans" w:hAnsi="Open Sans" w:cs="Open Sans"/>
          <w:color w:val="000000"/>
        </w:rPr>
        <w:t>€/m</w:t>
      </w:r>
      <w:r w:rsidRPr="00104D5B">
        <w:rPr>
          <w:rFonts w:ascii="Open Sans" w:hAnsi="Open Sans" w:cs="Open Sans"/>
          <w:color w:val="000000"/>
          <w:vertAlign w:val="superscript"/>
        </w:rPr>
        <w:t>2</w:t>
      </w:r>
      <w:r w:rsidRPr="0090092A">
        <w:rPr>
          <w:rFonts w:ascii="Open Sans" w:hAnsi="Open Sans" w:cs="Open Sans"/>
          <w:color w:val="000000"/>
        </w:rPr>
        <w:t xml:space="preserve"> al mes</w:t>
      </w:r>
      <w:r>
        <w:rPr>
          <w:rFonts w:ascii="Open Sans" w:hAnsi="Open Sans" w:cs="Open Sans"/>
          <w:color w:val="000000"/>
        </w:rPr>
        <w:t>.</w:t>
      </w:r>
    </w:p>
    <w:p w14:paraId="75D8B51D" w14:textId="16D564D2" w:rsidR="00DB0D52" w:rsidRPr="00DB0D52" w:rsidRDefault="00DB0D52" w:rsidP="002D1A36">
      <w:pPr>
        <w:pStyle w:val="NormalWeb"/>
        <w:shd w:val="clear" w:color="auto" w:fill="FFFFFF"/>
        <w:spacing w:after="225" w:line="276" w:lineRule="auto"/>
        <w:ind w:right="-574"/>
        <w:jc w:val="both"/>
        <w:rPr>
          <w:rFonts w:ascii="Open Sans Light" w:hAnsi="Open Sans Light" w:cs="Open Sans Light"/>
          <w:b/>
          <w:iCs/>
          <w:color w:val="303AB2"/>
          <w:sz w:val="28"/>
          <w:szCs w:val="22"/>
        </w:rPr>
      </w:pPr>
      <w:r w:rsidRPr="00DB0D52">
        <w:rPr>
          <w:rFonts w:ascii="Open Sans Light" w:hAnsi="Open Sans Light" w:cs="Open Sans Light"/>
          <w:b/>
          <w:iCs/>
          <w:color w:val="303AB2"/>
          <w:sz w:val="28"/>
          <w:szCs w:val="22"/>
        </w:rPr>
        <w:t xml:space="preserve">Provincias con </w:t>
      </w:r>
      <w:r w:rsidR="00572505">
        <w:rPr>
          <w:rFonts w:ascii="Open Sans Light" w:hAnsi="Open Sans Light" w:cs="Open Sans Light"/>
          <w:b/>
          <w:iCs/>
          <w:color w:val="303AB2"/>
          <w:sz w:val="28"/>
          <w:szCs w:val="22"/>
        </w:rPr>
        <w:t xml:space="preserve">variación mensual, </w:t>
      </w:r>
      <w:r w:rsidR="00B81F14">
        <w:rPr>
          <w:rFonts w:ascii="Open Sans Light" w:hAnsi="Open Sans Light" w:cs="Open Sans Light"/>
          <w:b/>
          <w:iCs/>
          <w:color w:val="303AB2"/>
          <w:sz w:val="28"/>
          <w:szCs w:val="22"/>
        </w:rPr>
        <w:t>interanual</w:t>
      </w:r>
      <w:r w:rsidR="00572505">
        <w:rPr>
          <w:rFonts w:ascii="Open Sans Light" w:hAnsi="Open Sans Light" w:cs="Open Sans Light"/>
          <w:b/>
          <w:iCs/>
          <w:color w:val="303AB2"/>
          <w:sz w:val="28"/>
          <w:szCs w:val="22"/>
        </w:rPr>
        <w:t xml:space="preserve"> y precio</w:t>
      </w:r>
    </w:p>
    <w:tbl>
      <w:tblPr>
        <w:tblStyle w:val="Tabladecuadrcula5oscura-nfasis11"/>
        <w:tblW w:w="9152" w:type="dxa"/>
        <w:tblInd w:w="-5" w:type="dxa"/>
        <w:tblLook w:val="04A0" w:firstRow="1" w:lastRow="0" w:firstColumn="1" w:lastColumn="0" w:noHBand="0" w:noVBand="1"/>
      </w:tblPr>
      <w:tblGrid>
        <w:gridCol w:w="2552"/>
        <w:gridCol w:w="2410"/>
        <w:gridCol w:w="2126"/>
        <w:gridCol w:w="2064"/>
      </w:tblGrid>
      <w:tr w:rsidR="00DB0D52" w:rsidRPr="00A64479" w14:paraId="3B72B06D" w14:textId="77777777" w:rsidTr="00AA021E">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10AE188A" w14:textId="77777777" w:rsidR="00DB0D52" w:rsidRPr="00A64479" w:rsidRDefault="00DB0D52" w:rsidP="00F46532">
            <w:pPr>
              <w:rPr>
                <w:rFonts w:ascii="Open Sans" w:hAnsi="Open Sans" w:cs="Open Sans"/>
                <w:b w:val="0"/>
                <w:bCs w:val="0"/>
                <w:sz w:val="22"/>
                <w:szCs w:val="22"/>
                <w:lang w:val="es-ES"/>
              </w:rPr>
            </w:pPr>
            <w:r w:rsidRPr="00A64479">
              <w:rPr>
                <w:rFonts w:ascii="Open Sans" w:hAnsi="Open Sans" w:cs="Open Sans"/>
                <w:b w:val="0"/>
                <w:bCs w:val="0"/>
                <w:sz w:val="22"/>
                <w:szCs w:val="22"/>
                <w:lang w:val="es-ES"/>
              </w:rPr>
              <w:t>Provincia</w:t>
            </w:r>
          </w:p>
        </w:tc>
        <w:tc>
          <w:tcPr>
            <w:tcW w:w="2410" w:type="dxa"/>
            <w:vAlign w:val="center"/>
          </w:tcPr>
          <w:p w14:paraId="01F01BDC" w14:textId="77777777" w:rsidR="00DB0D52" w:rsidRPr="00A64479" w:rsidRDefault="00DB0D52" w:rsidP="00F4653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A64479">
              <w:rPr>
                <w:rFonts w:ascii="Open Sans" w:hAnsi="Open Sans" w:cs="Open Sans"/>
                <w:b w:val="0"/>
                <w:bCs w:val="0"/>
                <w:sz w:val="22"/>
                <w:szCs w:val="22"/>
                <w:lang w:val="es-ES"/>
              </w:rPr>
              <w:t>Variación</w:t>
            </w:r>
          </w:p>
          <w:p w14:paraId="73698376" w14:textId="77777777" w:rsidR="00DB0D52" w:rsidRPr="00A64479" w:rsidRDefault="00DB0D52" w:rsidP="00F4653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A64479">
              <w:rPr>
                <w:rFonts w:ascii="Open Sans" w:hAnsi="Open Sans" w:cs="Open Sans"/>
                <w:b w:val="0"/>
                <w:bCs w:val="0"/>
                <w:sz w:val="22"/>
                <w:szCs w:val="22"/>
                <w:lang w:val="es-ES"/>
              </w:rPr>
              <w:t>mensual (%)</w:t>
            </w:r>
          </w:p>
        </w:tc>
        <w:tc>
          <w:tcPr>
            <w:tcW w:w="2126" w:type="dxa"/>
          </w:tcPr>
          <w:p w14:paraId="31E53D15" w14:textId="77777777" w:rsidR="00DB0D52" w:rsidRPr="00A64479" w:rsidRDefault="00DB0D52" w:rsidP="00F4653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A64479">
              <w:rPr>
                <w:rFonts w:ascii="Open Sans" w:hAnsi="Open Sans" w:cs="Open Sans"/>
                <w:b w:val="0"/>
                <w:bCs w:val="0"/>
                <w:sz w:val="22"/>
                <w:szCs w:val="22"/>
                <w:lang w:val="es-ES"/>
              </w:rPr>
              <w:t>Variación interanual (%)</w:t>
            </w:r>
          </w:p>
        </w:tc>
        <w:tc>
          <w:tcPr>
            <w:tcW w:w="2064" w:type="dxa"/>
            <w:vAlign w:val="center"/>
          </w:tcPr>
          <w:p w14:paraId="426518BC" w14:textId="6EF04690" w:rsidR="00DB0D52" w:rsidRPr="00A64479" w:rsidRDefault="00F26A37" w:rsidP="0057250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Pr>
                <w:rFonts w:ascii="Open Sans" w:hAnsi="Open Sans" w:cs="Open Sans"/>
                <w:b w:val="0"/>
                <w:bCs w:val="0"/>
                <w:sz w:val="22"/>
                <w:szCs w:val="22"/>
                <w:lang w:val="es-ES"/>
              </w:rPr>
              <w:t>Octubre</w:t>
            </w:r>
            <w:r w:rsidR="00333462" w:rsidRPr="00A64479">
              <w:rPr>
                <w:rFonts w:ascii="Open Sans" w:hAnsi="Open Sans" w:cs="Open Sans"/>
                <w:b w:val="0"/>
                <w:bCs w:val="0"/>
                <w:sz w:val="22"/>
                <w:szCs w:val="22"/>
                <w:lang w:val="es-ES"/>
              </w:rPr>
              <w:t xml:space="preserve"> </w:t>
            </w:r>
            <w:r w:rsidR="00B03ABB" w:rsidRPr="00A64479">
              <w:rPr>
                <w:rFonts w:ascii="Open Sans" w:hAnsi="Open Sans" w:cs="Open Sans"/>
                <w:b w:val="0"/>
                <w:bCs w:val="0"/>
                <w:sz w:val="22"/>
                <w:szCs w:val="22"/>
                <w:lang w:val="es-ES"/>
              </w:rPr>
              <w:t>2020</w:t>
            </w:r>
            <w:r w:rsidR="00DB0D52" w:rsidRPr="00A64479">
              <w:rPr>
                <w:rFonts w:ascii="Open Sans" w:hAnsi="Open Sans" w:cs="Open Sans"/>
                <w:b w:val="0"/>
                <w:bCs w:val="0"/>
                <w:sz w:val="22"/>
                <w:szCs w:val="22"/>
                <w:lang w:val="es-ES"/>
              </w:rPr>
              <w:br/>
              <w:t>(€/m</w:t>
            </w:r>
            <w:r w:rsidR="00DB0D52" w:rsidRPr="00A64479">
              <w:rPr>
                <w:rFonts w:ascii="Open Sans" w:hAnsi="Open Sans" w:cs="Open Sans"/>
                <w:b w:val="0"/>
                <w:bCs w:val="0"/>
                <w:sz w:val="22"/>
                <w:szCs w:val="22"/>
                <w:vertAlign w:val="superscript"/>
                <w:lang w:val="es-ES"/>
              </w:rPr>
              <w:t xml:space="preserve">2 </w:t>
            </w:r>
            <w:r w:rsidR="00DB0D52" w:rsidRPr="00A64479">
              <w:rPr>
                <w:rFonts w:ascii="Open Sans" w:hAnsi="Open Sans" w:cs="Open Sans"/>
                <w:b w:val="0"/>
                <w:bCs w:val="0"/>
                <w:sz w:val="22"/>
                <w:szCs w:val="22"/>
                <w:lang w:val="es-ES"/>
              </w:rPr>
              <w:t>al mes)</w:t>
            </w:r>
          </w:p>
        </w:tc>
      </w:tr>
      <w:tr w:rsidR="00F26A37" w:rsidRPr="00A64479" w14:paraId="65FDA6BC"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B5D2177" w14:textId="50D813C1"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Cuenca</w:t>
            </w:r>
          </w:p>
        </w:tc>
        <w:tc>
          <w:tcPr>
            <w:tcW w:w="2410" w:type="dxa"/>
            <w:vAlign w:val="bottom"/>
          </w:tcPr>
          <w:p w14:paraId="3ED9C1E0" w14:textId="2C4A3A67"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-8,3 %</w:t>
            </w:r>
          </w:p>
        </w:tc>
        <w:tc>
          <w:tcPr>
            <w:tcW w:w="2126" w:type="dxa"/>
            <w:vAlign w:val="bottom"/>
          </w:tcPr>
          <w:p w14:paraId="42EF7ABA" w14:textId="00B43FFF"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-11,2 %</w:t>
            </w:r>
          </w:p>
        </w:tc>
        <w:tc>
          <w:tcPr>
            <w:tcW w:w="2064" w:type="dxa"/>
            <w:vAlign w:val="bottom"/>
          </w:tcPr>
          <w:p w14:paraId="78440EEE" w14:textId="27E26040"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4,85 €</w:t>
            </w:r>
          </w:p>
        </w:tc>
      </w:tr>
      <w:tr w:rsidR="00F26A37" w:rsidRPr="00A64479" w14:paraId="6CBA9420"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4EF27840" w14:textId="59C8589F"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Zamora</w:t>
            </w:r>
          </w:p>
        </w:tc>
        <w:tc>
          <w:tcPr>
            <w:tcW w:w="2410" w:type="dxa"/>
            <w:vAlign w:val="bottom"/>
          </w:tcPr>
          <w:p w14:paraId="46FC160D" w14:textId="2D06DB31"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-5,4 %</w:t>
            </w:r>
          </w:p>
        </w:tc>
        <w:tc>
          <w:tcPr>
            <w:tcW w:w="2126" w:type="dxa"/>
            <w:vAlign w:val="bottom"/>
          </w:tcPr>
          <w:p w14:paraId="4FE6D2A7" w14:textId="3DAE8DE3"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0,8 %</w:t>
            </w:r>
          </w:p>
        </w:tc>
        <w:tc>
          <w:tcPr>
            <w:tcW w:w="2064" w:type="dxa"/>
            <w:vAlign w:val="bottom"/>
          </w:tcPr>
          <w:p w14:paraId="652C3A04" w14:textId="562DCCF6"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5,21 €</w:t>
            </w:r>
          </w:p>
        </w:tc>
      </w:tr>
      <w:tr w:rsidR="00F26A37" w:rsidRPr="00A64479" w14:paraId="22FE2EEA"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4CD18650" w14:textId="79EB0549"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Tarragona</w:t>
            </w:r>
          </w:p>
        </w:tc>
        <w:tc>
          <w:tcPr>
            <w:tcW w:w="2410" w:type="dxa"/>
            <w:vAlign w:val="bottom"/>
          </w:tcPr>
          <w:p w14:paraId="1D1A7A1D" w14:textId="6EF3E01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-4,1 %</w:t>
            </w:r>
          </w:p>
        </w:tc>
        <w:tc>
          <w:tcPr>
            <w:tcW w:w="2126" w:type="dxa"/>
            <w:vAlign w:val="bottom"/>
          </w:tcPr>
          <w:p w14:paraId="1BCB7637" w14:textId="4528DB13"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5,5 %</w:t>
            </w:r>
          </w:p>
        </w:tc>
        <w:tc>
          <w:tcPr>
            <w:tcW w:w="2064" w:type="dxa"/>
            <w:vAlign w:val="bottom"/>
          </w:tcPr>
          <w:p w14:paraId="6782E0FD" w14:textId="0BF91D41"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7,99 €</w:t>
            </w:r>
          </w:p>
        </w:tc>
      </w:tr>
      <w:tr w:rsidR="00F26A37" w:rsidRPr="00A64479" w14:paraId="14E8FED1"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0C5A9B28" w14:textId="755CC2DA"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Huelva</w:t>
            </w:r>
          </w:p>
        </w:tc>
        <w:tc>
          <w:tcPr>
            <w:tcW w:w="2410" w:type="dxa"/>
            <w:vAlign w:val="bottom"/>
          </w:tcPr>
          <w:p w14:paraId="0AFF0056" w14:textId="1EE994C2"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-3,8 %</w:t>
            </w:r>
          </w:p>
        </w:tc>
        <w:tc>
          <w:tcPr>
            <w:tcW w:w="2126" w:type="dxa"/>
            <w:vAlign w:val="bottom"/>
          </w:tcPr>
          <w:p w14:paraId="73BC9C8F" w14:textId="55164FD5"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10,0 %</w:t>
            </w:r>
          </w:p>
        </w:tc>
        <w:tc>
          <w:tcPr>
            <w:tcW w:w="2064" w:type="dxa"/>
            <w:vAlign w:val="bottom"/>
          </w:tcPr>
          <w:p w14:paraId="25CF186E" w14:textId="3DA47782"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7,50 €</w:t>
            </w:r>
          </w:p>
        </w:tc>
      </w:tr>
      <w:tr w:rsidR="00F26A37" w:rsidRPr="00A64479" w14:paraId="5A3F2D24"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252D03DC" w14:textId="1E57CC15"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Illes Balears</w:t>
            </w:r>
          </w:p>
        </w:tc>
        <w:tc>
          <w:tcPr>
            <w:tcW w:w="2410" w:type="dxa"/>
            <w:vAlign w:val="bottom"/>
          </w:tcPr>
          <w:p w14:paraId="4AF9DC19" w14:textId="56E10B5B"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-3,2 %</w:t>
            </w:r>
          </w:p>
        </w:tc>
        <w:tc>
          <w:tcPr>
            <w:tcW w:w="2126" w:type="dxa"/>
            <w:vAlign w:val="bottom"/>
          </w:tcPr>
          <w:p w14:paraId="6E7D885E" w14:textId="731DF730"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-6,8 %</w:t>
            </w:r>
          </w:p>
        </w:tc>
        <w:tc>
          <w:tcPr>
            <w:tcW w:w="2064" w:type="dxa"/>
            <w:vAlign w:val="bottom"/>
          </w:tcPr>
          <w:p w14:paraId="60E55D75" w14:textId="5B57C5A4"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11,64 €</w:t>
            </w:r>
          </w:p>
        </w:tc>
      </w:tr>
      <w:tr w:rsidR="00F26A37" w:rsidRPr="00A64479" w14:paraId="6511FB3A"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44B39D89" w14:textId="23268EE4"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Badajoz</w:t>
            </w:r>
          </w:p>
        </w:tc>
        <w:tc>
          <w:tcPr>
            <w:tcW w:w="2410" w:type="dxa"/>
            <w:vAlign w:val="bottom"/>
          </w:tcPr>
          <w:p w14:paraId="39AF7A58" w14:textId="3C60D8CA"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-3,1 %</w:t>
            </w:r>
          </w:p>
        </w:tc>
        <w:tc>
          <w:tcPr>
            <w:tcW w:w="2126" w:type="dxa"/>
            <w:vAlign w:val="bottom"/>
          </w:tcPr>
          <w:p w14:paraId="1BF55930" w14:textId="70511213"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9,3 %</w:t>
            </w:r>
          </w:p>
        </w:tc>
        <w:tc>
          <w:tcPr>
            <w:tcW w:w="2064" w:type="dxa"/>
            <w:vAlign w:val="bottom"/>
          </w:tcPr>
          <w:p w14:paraId="2E6B4A66" w14:textId="0993AEA0"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5,39 €</w:t>
            </w:r>
          </w:p>
        </w:tc>
      </w:tr>
      <w:tr w:rsidR="00F26A37" w:rsidRPr="00A64479" w14:paraId="27C0F23B"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DDFC78B" w14:textId="73C113E6"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Murcia</w:t>
            </w:r>
          </w:p>
        </w:tc>
        <w:tc>
          <w:tcPr>
            <w:tcW w:w="2410" w:type="dxa"/>
            <w:vAlign w:val="bottom"/>
          </w:tcPr>
          <w:p w14:paraId="0CF719C8" w14:textId="3F95902D"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-3,0 %</w:t>
            </w:r>
          </w:p>
        </w:tc>
        <w:tc>
          <w:tcPr>
            <w:tcW w:w="2126" w:type="dxa"/>
            <w:vAlign w:val="bottom"/>
          </w:tcPr>
          <w:p w14:paraId="7EA4D1EA" w14:textId="22D93B98"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10,0 %</w:t>
            </w:r>
          </w:p>
        </w:tc>
        <w:tc>
          <w:tcPr>
            <w:tcW w:w="2064" w:type="dxa"/>
            <w:vAlign w:val="bottom"/>
          </w:tcPr>
          <w:p w14:paraId="1415EA0F" w14:textId="4A90B9F5"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6,90 €</w:t>
            </w:r>
          </w:p>
        </w:tc>
      </w:tr>
      <w:tr w:rsidR="00F26A37" w:rsidRPr="00A64479" w14:paraId="569157C8"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30197E6D" w14:textId="21664D97"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Salamanca</w:t>
            </w:r>
          </w:p>
        </w:tc>
        <w:tc>
          <w:tcPr>
            <w:tcW w:w="2410" w:type="dxa"/>
            <w:vAlign w:val="bottom"/>
          </w:tcPr>
          <w:p w14:paraId="5D13EFE4" w14:textId="7DD4DCDE"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-2,9 %</w:t>
            </w:r>
          </w:p>
        </w:tc>
        <w:tc>
          <w:tcPr>
            <w:tcW w:w="2126" w:type="dxa"/>
            <w:vAlign w:val="bottom"/>
          </w:tcPr>
          <w:p w14:paraId="60E6E4EE" w14:textId="6D6D9D37"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4,0 %</w:t>
            </w:r>
          </w:p>
        </w:tc>
        <w:tc>
          <w:tcPr>
            <w:tcW w:w="2064" w:type="dxa"/>
            <w:vAlign w:val="bottom"/>
          </w:tcPr>
          <w:p w14:paraId="14E955E8" w14:textId="43E9FF6A"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7,74 €</w:t>
            </w:r>
          </w:p>
        </w:tc>
      </w:tr>
      <w:tr w:rsidR="00F26A37" w:rsidRPr="00A64479" w14:paraId="27C432D3"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20E17DD5" w14:textId="685BEA01"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Castellón</w:t>
            </w:r>
          </w:p>
        </w:tc>
        <w:tc>
          <w:tcPr>
            <w:tcW w:w="2410" w:type="dxa"/>
            <w:vAlign w:val="bottom"/>
          </w:tcPr>
          <w:p w14:paraId="05A5169F" w14:textId="12DC148D"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-2,5 %</w:t>
            </w:r>
          </w:p>
        </w:tc>
        <w:tc>
          <w:tcPr>
            <w:tcW w:w="2126" w:type="dxa"/>
            <w:vAlign w:val="bottom"/>
          </w:tcPr>
          <w:p w14:paraId="296174C1" w14:textId="350E5372"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5,4 %</w:t>
            </w:r>
          </w:p>
        </w:tc>
        <w:tc>
          <w:tcPr>
            <w:tcW w:w="2064" w:type="dxa"/>
            <w:vAlign w:val="bottom"/>
          </w:tcPr>
          <w:p w14:paraId="1AC8E349" w14:textId="0C6916C7"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6,23 €</w:t>
            </w:r>
          </w:p>
        </w:tc>
      </w:tr>
      <w:tr w:rsidR="00F26A37" w:rsidRPr="00A64479" w14:paraId="391B1312"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2CDE912F" w14:textId="44A81247"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Valladolid</w:t>
            </w:r>
          </w:p>
        </w:tc>
        <w:tc>
          <w:tcPr>
            <w:tcW w:w="2410" w:type="dxa"/>
            <w:vAlign w:val="bottom"/>
          </w:tcPr>
          <w:p w14:paraId="71748B51" w14:textId="0D5B7FC8"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-1,6 %</w:t>
            </w:r>
          </w:p>
        </w:tc>
        <w:tc>
          <w:tcPr>
            <w:tcW w:w="2126" w:type="dxa"/>
            <w:vAlign w:val="bottom"/>
          </w:tcPr>
          <w:p w14:paraId="1F119B10" w14:textId="1BB6B161"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3,5 %</w:t>
            </w:r>
          </w:p>
        </w:tc>
        <w:tc>
          <w:tcPr>
            <w:tcW w:w="2064" w:type="dxa"/>
            <w:vAlign w:val="bottom"/>
          </w:tcPr>
          <w:p w14:paraId="01767960" w14:textId="05BF34E2"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7,16 €</w:t>
            </w:r>
          </w:p>
        </w:tc>
      </w:tr>
      <w:tr w:rsidR="00F26A37" w:rsidRPr="00A64479" w14:paraId="42A869C9"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5EB7600C" w14:textId="5C0851AD"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Almería</w:t>
            </w:r>
          </w:p>
        </w:tc>
        <w:tc>
          <w:tcPr>
            <w:tcW w:w="2410" w:type="dxa"/>
            <w:vAlign w:val="bottom"/>
          </w:tcPr>
          <w:p w14:paraId="3BEC8EBE" w14:textId="31E369C7"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-1,5 %</w:t>
            </w:r>
          </w:p>
        </w:tc>
        <w:tc>
          <w:tcPr>
            <w:tcW w:w="2126" w:type="dxa"/>
            <w:vAlign w:val="bottom"/>
          </w:tcPr>
          <w:p w14:paraId="7D2CD574" w14:textId="34750AD0"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3,2 %</w:t>
            </w:r>
          </w:p>
        </w:tc>
        <w:tc>
          <w:tcPr>
            <w:tcW w:w="2064" w:type="dxa"/>
            <w:vAlign w:val="bottom"/>
          </w:tcPr>
          <w:p w14:paraId="3C05B974" w14:textId="5F1CE928"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6,44 €</w:t>
            </w:r>
          </w:p>
        </w:tc>
      </w:tr>
      <w:tr w:rsidR="00F26A37" w:rsidRPr="00A64479" w14:paraId="2585CA5C"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51EF2B45" w14:textId="0FE72DC0"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Valencia</w:t>
            </w:r>
          </w:p>
        </w:tc>
        <w:tc>
          <w:tcPr>
            <w:tcW w:w="2410" w:type="dxa"/>
            <w:vAlign w:val="bottom"/>
          </w:tcPr>
          <w:p w14:paraId="5F5BDB71" w14:textId="0DD1D21D"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-1,5 %</w:t>
            </w:r>
          </w:p>
        </w:tc>
        <w:tc>
          <w:tcPr>
            <w:tcW w:w="2126" w:type="dxa"/>
            <w:vAlign w:val="bottom"/>
          </w:tcPr>
          <w:p w14:paraId="61FE7509" w14:textId="6B15DCFF"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6,4 %</w:t>
            </w:r>
          </w:p>
        </w:tc>
        <w:tc>
          <w:tcPr>
            <w:tcW w:w="2064" w:type="dxa"/>
            <w:vAlign w:val="bottom"/>
          </w:tcPr>
          <w:p w14:paraId="79DCC530" w14:textId="1D7B8BFE"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9,18 €</w:t>
            </w:r>
          </w:p>
        </w:tc>
      </w:tr>
      <w:tr w:rsidR="00F26A37" w:rsidRPr="00A64479" w14:paraId="730030EE"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18B0F215" w14:textId="5CA40F12"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Granada</w:t>
            </w:r>
          </w:p>
        </w:tc>
        <w:tc>
          <w:tcPr>
            <w:tcW w:w="2410" w:type="dxa"/>
            <w:vAlign w:val="bottom"/>
          </w:tcPr>
          <w:p w14:paraId="5743CE1E" w14:textId="7033BCF0"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-1,4 %</w:t>
            </w:r>
          </w:p>
        </w:tc>
        <w:tc>
          <w:tcPr>
            <w:tcW w:w="2126" w:type="dxa"/>
            <w:vAlign w:val="bottom"/>
          </w:tcPr>
          <w:p w14:paraId="5F474178" w14:textId="4F08845A"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6,9 %</w:t>
            </w:r>
          </w:p>
        </w:tc>
        <w:tc>
          <w:tcPr>
            <w:tcW w:w="2064" w:type="dxa"/>
            <w:vAlign w:val="bottom"/>
          </w:tcPr>
          <w:p w14:paraId="4BA77A00" w14:textId="16CC8A2F"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7,55 €</w:t>
            </w:r>
          </w:p>
        </w:tc>
      </w:tr>
      <w:tr w:rsidR="00F26A37" w:rsidRPr="00A64479" w14:paraId="19A094D6"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69621FFB" w14:textId="4AF90315"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lastRenderedPageBreak/>
              <w:t>Madrid</w:t>
            </w:r>
          </w:p>
        </w:tc>
        <w:tc>
          <w:tcPr>
            <w:tcW w:w="2410" w:type="dxa"/>
            <w:vAlign w:val="bottom"/>
          </w:tcPr>
          <w:p w14:paraId="7471D465" w14:textId="32323D91"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-1,4 %</w:t>
            </w:r>
          </w:p>
        </w:tc>
        <w:tc>
          <w:tcPr>
            <w:tcW w:w="2126" w:type="dxa"/>
            <w:vAlign w:val="bottom"/>
          </w:tcPr>
          <w:p w14:paraId="4DEE1C54" w14:textId="1D23171E"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-2,1 %</w:t>
            </w:r>
          </w:p>
        </w:tc>
        <w:tc>
          <w:tcPr>
            <w:tcW w:w="2064" w:type="dxa"/>
            <w:vAlign w:val="bottom"/>
          </w:tcPr>
          <w:p w14:paraId="42C1A340" w14:textId="3DD414B5"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14,51 €</w:t>
            </w:r>
          </w:p>
        </w:tc>
      </w:tr>
      <w:tr w:rsidR="00F26A37" w:rsidRPr="00A64479" w14:paraId="7A814B57"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407A8D44" w14:textId="43267862"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Guadalajara</w:t>
            </w:r>
          </w:p>
        </w:tc>
        <w:tc>
          <w:tcPr>
            <w:tcW w:w="2410" w:type="dxa"/>
            <w:vAlign w:val="bottom"/>
          </w:tcPr>
          <w:p w14:paraId="388A3408" w14:textId="71C3F139"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-1,4 %</w:t>
            </w:r>
          </w:p>
        </w:tc>
        <w:tc>
          <w:tcPr>
            <w:tcW w:w="2126" w:type="dxa"/>
            <w:vAlign w:val="bottom"/>
          </w:tcPr>
          <w:p w14:paraId="28FAF7F1" w14:textId="6C2D9AE1"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12,1 %</w:t>
            </w:r>
          </w:p>
        </w:tc>
        <w:tc>
          <w:tcPr>
            <w:tcW w:w="2064" w:type="dxa"/>
            <w:vAlign w:val="bottom"/>
          </w:tcPr>
          <w:p w14:paraId="3F0694A5" w14:textId="6EFB6383"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7,06 €</w:t>
            </w:r>
          </w:p>
        </w:tc>
      </w:tr>
      <w:tr w:rsidR="00F26A37" w:rsidRPr="00A64479" w14:paraId="4331B6B1"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4D343ACC" w14:textId="3401298D"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Bizkaia</w:t>
            </w:r>
          </w:p>
        </w:tc>
        <w:tc>
          <w:tcPr>
            <w:tcW w:w="2410" w:type="dxa"/>
            <w:vAlign w:val="bottom"/>
          </w:tcPr>
          <w:p w14:paraId="67C0770E" w14:textId="681E938A"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-1,3 %</w:t>
            </w:r>
          </w:p>
        </w:tc>
        <w:tc>
          <w:tcPr>
            <w:tcW w:w="2126" w:type="dxa"/>
            <w:vAlign w:val="bottom"/>
          </w:tcPr>
          <w:p w14:paraId="5DA430D8" w14:textId="71542838"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4,1 %</w:t>
            </w:r>
          </w:p>
        </w:tc>
        <w:tc>
          <w:tcPr>
            <w:tcW w:w="2064" w:type="dxa"/>
            <w:vAlign w:val="bottom"/>
          </w:tcPr>
          <w:p w14:paraId="7EF2C9B9" w14:textId="65EABAEC"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12,68 €</w:t>
            </w:r>
          </w:p>
        </w:tc>
      </w:tr>
      <w:tr w:rsidR="00F26A37" w:rsidRPr="00A64479" w14:paraId="0D776CDA"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653A8123" w14:textId="446B0A70"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Alicante</w:t>
            </w:r>
          </w:p>
        </w:tc>
        <w:tc>
          <w:tcPr>
            <w:tcW w:w="2410" w:type="dxa"/>
            <w:vAlign w:val="bottom"/>
          </w:tcPr>
          <w:p w14:paraId="1078F795" w14:textId="1212D75A"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-1,3 %</w:t>
            </w:r>
          </w:p>
        </w:tc>
        <w:tc>
          <w:tcPr>
            <w:tcW w:w="2126" w:type="dxa"/>
            <w:vAlign w:val="bottom"/>
          </w:tcPr>
          <w:p w14:paraId="0BBEB6C5" w14:textId="5BA0ED1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1,9 %</w:t>
            </w:r>
          </w:p>
        </w:tc>
        <w:tc>
          <w:tcPr>
            <w:tcW w:w="2064" w:type="dxa"/>
            <w:vAlign w:val="bottom"/>
          </w:tcPr>
          <w:p w14:paraId="2E765A6A" w14:textId="3E5A10F1"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7,59 €</w:t>
            </w:r>
          </w:p>
        </w:tc>
      </w:tr>
      <w:tr w:rsidR="00F26A37" w:rsidRPr="00A64479" w14:paraId="23C78C39"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19B227C0" w14:textId="1129AC07"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Barcelona</w:t>
            </w:r>
          </w:p>
        </w:tc>
        <w:tc>
          <w:tcPr>
            <w:tcW w:w="2410" w:type="dxa"/>
            <w:vAlign w:val="bottom"/>
          </w:tcPr>
          <w:p w14:paraId="62ABA280" w14:textId="0BFAAE86"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-1,2 %</w:t>
            </w:r>
          </w:p>
        </w:tc>
        <w:tc>
          <w:tcPr>
            <w:tcW w:w="2126" w:type="dxa"/>
            <w:vAlign w:val="bottom"/>
          </w:tcPr>
          <w:p w14:paraId="6D85F9B7" w14:textId="1FCBD804"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-2,1 %</w:t>
            </w:r>
          </w:p>
        </w:tc>
        <w:tc>
          <w:tcPr>
            <w:tcW w:w="2064" w:type="dxa"/>
            <w:vAlign w:val="bottom"/>
          </w:tcPr>
          <w:p w14:paraId="47C9CCED" w14:textId="20363A1C"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15,21 €</w:t>
            </w:r>
          </w:p>
        </w:tc>
      </w:tr>
      <w:tr w:rsidR="00F26A37" w:rsidRPr="00A64479" w14:paraId="4D2BDD5D"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395B1E4E" w14:textId="0A1B2AAF"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Málaga</w:t>
            </w:r>
          </w:p>
        </w:tc>
        <w:tc>
          <w:tcPr>
            <w:tcW w:w="2410" w:type="dxa"/>
            <w:vAlign w:val="bottom"/>
          </w:tcPr>
          <w:p w14:paraId="77A667A1" w14:textId="08A60F8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-1,1 %</w:t>
            </w:r>
          </w:p>
        </w:tc>
        <w:tc>
          <w:tcPr>
            <w:tcW w:w="2126" w:type="dxa"/>
            <w:vAlign w:val="bottom"/>
          </w:tcPr>
          <w:p w14:paraId="45E28EC3" w14:textId="0A25F759"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-1,1 %</w:t>
            </w:r>
          </w:p>
        </w:tc>
        <w:tc>
          <w:tcPr>
            <w:tcW w:w="2064" w:type="dxa"/>
            <w:vAlign w:val="bottom"/>
          </w:tcPr>
          <w:p w14:paraId="1F8BB1AC" w14:textId="0E7B0CA6"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9,70 €</w:t>
            </w:r>
          </w:p>
        </w:tc>
      </w:tr>
      <w:tr w:rsidR="00F26A37" w:rsidRPr="00A64479" w14:paraId="35A3F3C6"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26D8165F" w14:textId="12665B05"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Palencia</w:t>
            </w:r>
          </w:p>
        </w:tc>
        <w:tc>
          <w:tcPr>
            <w:tcW w:w="2410" w:type="dxa"/>
            <w:vAlign w:val="bottom"/>
          </w:tcPr>
          <w:p w14:paraId="4ADF0F55" w14:textId="1C00E9C4"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-1,0 %</w:t>
            </w:r>
          </w:p>
        </w:tc>
        <w:tc>
          <w:tcPr>
            <w:tcW w:w="2126" w:type="dxa"/>
            <w:vAlign w:val="bottom"/>
          </w:tcPr>
          <w:p w14:paraId="6A5BFB08" w14:textId="3AABBF4B"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3,4 %</w:t>
            </w:r>
          </w:p>
        </w:tc>
        <w:tc>
          <w:tcPr>
            <w:tcW w:w="2064" w:type="dxa"/>
            <w:vAlign w:val="bottom"/>
          </w:tcPr>
          <w:p w14:paraId="65BA42DD" w14:textId="36DF1489"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6,10 €</w:t>
            </w:r>
          </w:p>
        </w:tc>
      </w:tr>
      <w:tr w:rsidR="00F26A37" w:rsidRPr="00A64479" w14:paraId="44C2C676"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6DCBC473" w14:textId="5693892D"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Segovia</w:t>
            </w:r>
          </w:p>
        </w:tc>
        <w:tc>
          <w:tcPr>
            <w:tcW w:w="2410" w:type="dxa"/>
            <w:vAlign w:val="bottom"/>
          </w:tcPr>
          <w:p w14:paraId="3D3C6198" w14:textId="639DB518"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-0,8 %</w:t>
            </w:r>
          </w:p>
        </w:tc>
        <w:tc>
          <w:tcPr>
            <w:tcW w:w="2126" w:type="dxa"/>
            <w:vAlign w:val="bottom"/>
          </w:tcPr>
          <w:p w14:paraId="5078DAC3" w14:textId="145BA584"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5,9 %</w:t>
            </w:r>
          </w:p>
        </w:tc>
        <w:tc>
          <w:tcPr>
            <w:tcW w:w="2064" w:type="dxa"/>
            <w:vAlign w:val="bottom"/>
          </w:tcPr>
          <w:p w14:paraId="476D3CD0" w14:textId="1BC3784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7,40 €</w:t>
            </w:r>
          </w:p>
        </w:tc>
      </w:tr>
      <w:tr w:rsidR="00F26A37" w:rsidRPr="00A64479" w14:paraId="3675CDFD"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F4480F8" w14:textId="77E8BEA8"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Córdoba</w:t>
            </w:r>
          </w:p>
        </w:tc>
        <w:tc>
          <w:tcPr>
            <w:tcW w:w="2410" w:type="dxa"/>
            <w:vAlign w:val="bottom"/>
          </w:tcPr>
          <w:p w14:paraId="02149DB6" w14:textId="0AC0294E"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-0,4 %</w:t>
            </w:r>
          </w:p>
        </w:tc>
        <w:tc>
          <w:tcPr>
            <w:tcW w:w="2126" w:type="dxa"/>
            <w:vAlign w:val="bottom"/>
          </w:tcPr>
          <w:p w14:paraId="6BF30D15" w14:textId="78A29C70"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0,6 %</w:t>
            </w:r>
          </w:p>
        </w:tc>
        <w:tc>
          <w:tcPr>
            <w:tcW w:w="2064" w:type="dxa"/>
            <w:vAlign w:val="bottom"/>
          </w:tcPr>
          <w:p w14:paraId="6649C0C9" w14:textId="2C8A96CD"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7,03 €</w:t>
            </w:r>
          </w:p>
        </w:tc>
      </w:tr>
      <w:tr w:rsidR="00F26A37" w:rsidRPr="00A64479" w14:paraId="7E475C4A"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606C3D1F" w14:textId="5D9CE271"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León</w:t>
            </w:r>
          </w:p>
        </w:tc>
        <w:tc>
          <w:tcPr>
            <w:tcW w:w="2410" w:type="dxa"/>
            <w:vAlign w:val="bottom"/>
          </w:tcPr>
          <w:p w14:paraId="3371C2C7" w14:textId="07B77588"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-0,3 %</w:t>
            </w:r>
          </w:p>
        </w:tc>
        <w:tc>
          <w:tcPr>
            <w:tcW w:w="2126" w:type="dxa"/>
            <w:vAlign w:val="bottom"/>
          </w:tcPr>
          <w:p w14:paraId="2E4A1114" w14:textId="28214D19"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5,5 %</w:t>
            </w:r>
          </w:p>
        </w:tc>
        <w:tc>
          <w:tcPr>
            <w:tcW w:w="2064" w:type="dxa"/>
            <w:vAlign w:val="bottom"/>
          </w:tcPr>
          <w:p w14:paraId="6A7DFC5D" w14:textId="224C7F96"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5,74 €</w:t>
            </w:r>
          </w:p>
        </w:tc>
      </w:tr>
      <w:tr w:rsidR="00F26A37" w:rsidRPr="00A64479" w14:paraId="29E70CC0"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12AC814A" w14:textId="5205B302"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Toledo</w:t>
            </w:r>
          </w:p>
        </w:tc>
        <w:tc>
          <w:tcPr>
            <w:tcW w:w="2410" w:type="dxa"/>
            <w:vAlign w:val="bottom"/>
          </w:tcPr>
          <w:p w14:paraId="7EE8B7D7" w14:textId="6EFA1C9B"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-0,3 %</w:t>
            </w:r>
          </w:p>
        </w:tc>
        <w:tc>
          <w:tcPr>
            <w:tcW w:w="2126" w:type="dxa"/>
            <w:vAlign w:val="bottom"/>
          </w:tcPr>
          <w:p w14:paraId="40E1A9A4" w14:textId="036D72BA"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8,8 %</w:t>
            </w:r>
          </w:p>
        </w:tc>
        <w:tc>
          <w:tcPr>
            <w:tcW w:w="2064" w:type="dxa"/>
            <w:vAlign w:val="bottom"/>
          </w:tcPr>
          <w:p w14:paraId="2C35E035" w14:textId="5A0C79A9"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6,06 €</w:t>
            </w:r>
          </w:p>
        </w:tc>
      </w:tr>
      <w:tr w:rsidR="00F26A37" w:rsidRPr="00A64479" w14:paraId="448CA11D"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1FE0DDC5" w14:textId="0BAF3F88"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Lleida</w:t>
            </w:r>
          </w:p>
        </w:tc>
        <w:tc>
          <w:tcPr>
            <w:tcW w:w="2410" w:type="dxa"/>
            <w:vAlign w:val="bottom"/>
          </w:tcPr>
          <w:p w14:paraId="10A89501" w14:textId="07C848CA"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-0,3 %</w:t>
            </w:r>
          </w:p>
        </w:tc>
        <w:tc>
          <w:tcPr>
            <w:tcW w:w="2126" w:type="dxa"/>
            <w:vAlign w:val="bottom"/>
          </w:tcPr>
          <w:p w14:paraId="2E68F0F3" w14:textId="0C27C7EA"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5,0 %</w:t>
            </w:r>
          </w:p>
        </w:tc>
        <w:tc>
          <w:tcPr>
            <w:tcW w:w="2064" w:type="dxa"/>
            <w:vAlign w:val="bottom"/>
          </w:tcPr>
          <w:p w14:paraId="0AF06CDA" w14:textId="527D2C92"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6,75 €</w:t>
            </w:r>
          </w:p>
        </w:tc>
      </w:tr>
      <w:tr w:rsidR="00F26A37" w:rsidRPr="00A64479" w14:paraId="345FF032"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620DBF08" w14:textId="6F29808E"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Navarra</w:t>
            </w:r>
          </w:p>
        </w:tc>
        <w:tc>
          <w:tcPr>
            <w:tcW w:w="2410" w:type="dxa"/>
            <w:vAlign w:val="bottom"/>
          </w:tcPr>
          <w:p w14:paraId="44668C85" w14:textId="781ED288"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-0,2 %</w:t>
            </w:r>
          </w:p>
        </w:tc>
        <w:tc>
          <w:tcPr>
            <w:tcW w:w="2126" w:type="dxa"/>
            <w:vAlign w:val="bottom"/>
          </w:tcPr>
          <w:p w14:paraId="2D299266" w14:textId="26B13668"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13,8 %</w:t>
            </w:r>
          </w:p>
        </w:tc>
        <w:tc>
          <w:tcPr>
            <w:tcW w:w="2064" w:type="dxa"/>
            <w:vAlign w:val="bottom"/>
          </w:tcPr>
          <w:p w14:paraId="2EE222DB" w14:textId="236D41E8"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9,74 €</w:t>
            </w:r>
          </w:p>
        </w:tc>
      </w:tr>
      <w:tr w:rsidR="00F26A37" w:rsidRPr="00A64479" w14:paraId="6D239736"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6682C5DB" w14:textId="75616308"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Asturias</w:t>
            </w:r>
          </w:p>
        </w:tc>
        <w:tc>
          <w:tcPr>
            <w:tcW w:w="2410" w:type="dxa"/>
            <w:vAlign w:val="bottom"/>
          </w:tcPr>
          <w:p w14:paraId="41ED4D42" w14:textId="2C56458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-0,1 %</w:t>
            </w:r>
          </w:p>
        </w:tc>
        <w:tc>
          <w:tcPr>
            <w:tcW w:w="2126" w:type="dxa"/>
            <w:vAlign w:val="bottom"/>
          </w:tcPr>
          <w:p w14:paraId="47B9A9A1" w14:textId="77015C6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7,0 %</w:t>
            </w:r>
          </w:p>
        </w:tc>
        <w:tc>
          <w:tcPr>
            <w:tcW w:w="2064" w:type="dxa"/>
            <w:vAlign w:val="bottom"/>
          </w:tcPr>
          <w:p w14:paraId="38AD585C" w14:textId="04A570CD"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7,75 €</w:t>
            </w:r>
          </w:p>
        </w:tc>
      </w:tr>
      <w:tr w:rsidR="00F26A37" w:rsidRPr="00A64479" w14:paraId="524FC915"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096CF200" w14:textId="73CA0EFD"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Melilla</w:t>
            </w:r>
          </w:p>
        </w:tc>
        <w:tc>
          <w:tcPr>
            <w:tcW w:w="2410" w:type="dxa"/>
            <w:vAlign w:val="bottom"/>
          </w:tcPr>
          <w:p w14:paraId="338C9562" w14:textId="5C3C45A0"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-0,1 %</w:t>
            </w:r>
          </w:p>
        </w:tc>
        <w:tc>
          <w:tcPr>
            <w:tcW w:w="2126" w:type="dxa"/>
            <w:vAlign w:val="bottom"/>
          </w:tcPr>
          <w:p w14:paraId="334BB0F6" w14:textId="5788E279"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4,0 %</w:t>
            </w:r>
          </w:p>
        </w:tc>
        <w:tc>
          <w:tcPr>
            <w:tcW w:w="2064" w:type="dxa"/>
            <w:vAlign w:val="bottom"/>
          </w:tcPr>
          <w:p w14:paraId="79D09778" w14:textId="457F4A2C"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8,91 €</w:t>
            </w:r>
          </w:p>
        </w:tc>
      </w:tr>
      <w:tr w:rsidR="00F26A37" w:rsidRPr="00A64479" w14:paraId="3C91CBFC"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59E21972" w14:textId="0FDA71CE"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Cantabria</w:t>
            </w:r>
          </w:p>
        </w:tc>
        <w:tc>
          <w:tcPr>
            <w:tcW w:w="2410" w:type="dxa"/>
            <w:vAlign w:val="bottom"/>
          </w:tcPr>
          <w:p w14:paraId="51F71D0E" w14:textId="79C4F974"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0,0 %</w:t>
            </w:r>
          </w:p>
        </w:tc>
        <w:tc>
          <w:tcPr>
            <w:tcW w:w="2126" w:type="dxa"/>
            <w:vAlign w:val="bottom"/>
          </w:tcPr>
          <w:p w14:paraId="1022787B" w14:textId="462EFC83"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4,4 %</w:t>
            </w:r>
          </w:p>
        </w:tc>
        <w:tc>
          <w:tcPr>
            <w:tcW w:w="2064" w:type="dxa"/>
            <w:vAlign w:val="bottom"/>
          </w:tcPr>
          <w:p w14:paraId="1574CAB9" w14:textId="168F8091"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8,69 €</w:t>
            </w:r>
          </w:p>
        </w:tc>
      </w:tr>
      <w:tr w:rsidR="00F26A37" w:rsidRPr="00A64479" w14:paraId="3FB16863"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404B65E7" w14:textId="79322A1A"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Santa Cruz de Tenerife</w:t>
            </w:r>
          </w:p>
        </w:tc>
        <w:tc>
          <w:tcPr>
            <w:tcW w:w="2410" w:type="dxa"/>
            <w:vAlign w:val="bottom"/>
          </w:tcPr>
          <w:p w14:paraId="27912337" w14:textId="166C8086"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0,0 %</w:t>
            </w:r>
          </w:p>
        </w:tc>
        <w:tc>
          <w:tcPr>
            <w:tcW w:w="2126" w:type="dxa"/>
            <w:vAlign w:val="bottom"/>
          </w:tcPr>
          <w:p w14:paraId="0600B5B9" w14:textId="0C783462"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-4,4 %</w:t>
            </w:r>
          </w:p>
        </w:tc>
        <w:tc>
          <w:tcPr>
            <w:tcW w:w="2064" w:type="dxa"/>
            <w:vAlign w:val="bottom"/>
          </w:tcPr>
          <w:p w14:paraId="64482B48" w14:textId="3B8CDA69"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9,27 €</w:t>
            </w:r>
          </w:p>
        </w:tc>
      </w:tr>
      <w:tr w:rsidR="00F26A37" w:rsidRPr="00A64479" w14:paraId="6950A964"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13FE61C7" w14:textId="77A9541F"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Las Palmas</w:t>
            </w:r>
          </w:p>
        </w:tc>
        <w:tc>
          <w:tcPr>
            <w:tcW w:w="2410" w:type="dxa"/>
            <w:vAlign w:val="bottom"/>
          </w:tcPr>
          <w:p w14:paraId="20F9D188" w14:textId="5ACFAC8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0,3 %</w:t>
            </w:r>
          </w:p>
        </w:tc>
        <w:tc>
          <w:tcPr>
            <w:tcW w:w="2126" w:type="dxa"/>
            <w:vAlign w:val="bottom"/>
          </w:tcPr>
          <w:p w14:paraId="2AE817C3" w14:textId="702466FD"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-0,7 %</w:t>
            </w:r>
          </w:p>
        </w:tc>
        <w:tc>
          <w:tcPr>
            <w:tcW w:w="2064" w:type="dxa"/>
            <w:vAlign w:val="bottom"/>
          </w:tcPr>
          <w:p w14:paraId="24E46703" w14:textId="143982E2"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10,02 €</w:t>
            </w:r>
          </w:p>
        </w:tc>
      </w:tr>
      <w:tr w:rsidR="00F26A37" w:rsidRPr="00A64479" w14:paraId="3874103C"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567F5039" w14:textId="333B9DB3"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Ciudad Real</w:t>
            </w:r>
          </w:p>
        </w:tc>
        <w:tc>
          <w:tcPr>
            <w:tcW w:w="2410" w:type="dxa"/>
            <w:vAlign w:val="bottom"/>
          </w:tcPr>
          <w:p w14:paraId="6D356DF3" w14:textId="0EE3DCAB"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0,4 %</w:t>
            </w:r>
          </w:p>
        </w:tc>
        <w:tc>
          <w:tcPr>
            <w:tcW w:w="2126" w:type="dxa"/>
            <w:vAlign w:val="bottom"/>
          </w:tcPr>
          <w:p w14:paraId="35C7FBEA" w14:textId="37313CB2"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3,8 %</w:t>
            </w:r>
          </w:p>
        </w:tc>
        <w:tc>
          <w:tcPr>
            <w:tcW w:w="2064" w:type="dxa"/>
            <w:vAlign w:val="bottom"/>
          </w:tcPr>
          <w:p w14:paraId="54180491" w14:textId="376D0D2E"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5,23 €</w:t>
            </w:r>
          </w:p>
        </w:tc>
      </w:tr>
      <w:tr w:rsidR="00F26A37" w:rsidRPr="00A64479" w14:paraId="45E5B292"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579F944E" w14:textId="388C9D37"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Cáceres</w:t>
            </w:r>
          </w:p>
        </w:tc>
        <w:tc>
          <w:tcPr>
            <w:tcW w:w="2410" w:type="dxa"/>
            <w:vAlign w:val="bottom"/>
          </w:tcPr>
          <w:p w14:paraId="20094B41" w14:textId="45B37A4F"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0,4 %</w:t>
            </w:r>
          </w:p>
        </w:tc>
        <w:tc>
          <w:tcPr>
            <w:tcW w:w="2126" w:type="dxa"/>
            <w:vAlign w:val="bottom"/>
          </w:tcPr>
          <w:p w14:paraId="1F98CB11" w14:textId="5C6A4E7F"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7,9 %</w:t>
            </w:r>
          </w:p>
        </w:tc>
        <w:tc>
          <w:tcPr>
            <w:tcW w:w="2064" w:type="dxa"/>
            <w:vAlign w:val="bottom"/>
          </w:tcPr>
          <w:p w14:paraId="43B30578" w14:textId="1B131E61"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5,06 €</w:t>
            </w:r>
          </w:p>
        </w:tc>
      </w:tr>
      <w:tr w:rsidR="00F26A37" w:rsidRPr="00A64479" w14:paraId="5858E49C"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18006D0C" w14:textId="69796D86"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Sevilla</w:t>
            </w:r>
          </w:p>
        </w:tc>
        <w:tc>
          <w:tcPr>
            <w:tcW w:w="2410" w:type="dxa"/>
            <w:vAlign w:val="bottom"/>
          </w:tcPr>
          <w:p w14:paraId="63642F50" w14:textId="6F3CF7DA"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0,4 %</w:t>
            </w:r>
          </w:p>
        </w:tc>
        <w:tc>
          <w:tcPr>
            <w:tcW w:w="2126" w:type="dxa"/>
            <w:vAlign w:val="bottom"/>
          </w:tcPr>
          <w:p w14:paraId="1577F49F" w14:textId="6065D5CE"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5,3 %</w:t>
            </w:r>
          </w:p>
        </w:tc>
        <w:tc>
          <w:tcPr>
            <w:tcW w:w="2064" w:type="dxa"/>
            <w:vAlign w:val="bottom"/>
          </w:tcPr>
          <w:p w14:paraId="35F02219" w14:textId="40B3116D"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9,74 €</w:t>
            </w:r>
          </w:p>
        </w:tc>
      </w:tr>
      <w:tr w:rsidR="00F26A37" w:rsidRPr="00A64479" w14:paraId="7E391E3A"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6547121B" w14:textId="2545C7F1"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A Coruña</w:t>
            </w:r>
          </w:p>
        </w:tc>
        <w:tc>
          <w:tcPr>
            <w:tcW w:w="2410" w:type="dxa"/>
            <w:vAlign w:val="bottom"/>
          </w:tcPr>
          <w:p w14:paraId="728E830D" w14:textId="43BB4EE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0,4 %</w:t>
            </w:r>
          </w:p>
        </w:tc>
        <w:tc>
          <w:tcPr>
            <w:tcW w:w="2126" w:type="dxa"/>
            <w:vAlign w:val="bottom"/>
          </w:tcPr>
          <w:p w14:paraId="6046837B" w14:textId="4A188D5D"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4,2 %</w:t>
            </w:r>
          </w:p>
        </w:tc>
        <w:tc>
          <w:tcPr>
            <w:tcW w:w="2064" w:type="dxa"/>
            <w:vAlign w:val="bottom"/>
          </w:tcPr>
          <w:p w14:paraId="0C2EE5F8" w14:textId="7B272BB7"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7,13 €</w:t>
            </w:r>
          </w:p>
        </w:tc>
      </w:tr>
      <w:tr w:rsidR="00F26A37" w:rsidRPr="00A64479" w14:paraId="1D8B6DD1"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518FB337" w14:textId="00919006"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Ourense</w:t>
            </w:r>
          </w:p>
        </w:tc>
        <w:tc>
          <w:tcPr>
            <w:tcW w:w="2410" w:type="dxa"/>
            <w:vAlign w:val="bottom"/>
          </w:tcPr>
          <w:p w14:paraId="10DB21D2" w14:textId="6C18BCAF"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0,5 %</w:t>
            </w:r>
          </w:p>
        </w:tc>
        <w:tc>
          <w:tcPr>
            <w:tcW w:w="2126" w:type="dxa"/>
            <w:vAlign w:val="bottom"/>
          </w:tcPr>
          <w:p w14:paraId="41AD2ACA" w14:textId="311AD4D6"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10,1 %</w:t>
            </w:r>
          </w:p>
        </w:tc>
        <w:tc>
          <w:tcPr>
            <w:tcW w:w="2064" w:type="dxa"/>
            <w:vAlign w:val="bottom"/>
          </w:tcPr>
          <w:p w14:paraId="2B4F5562" w14:textId="298F13A2"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5,76 €</w:t>
            </w:r>
          </w:p>
        </w:tc>
      </w:tr>
      <w:tr w:rsidR="00F26A37" w:rsidRPr="00A64479" w14:paraId="5D631E5A"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09009CE8" w14:textId="4B61467B"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Cádiz</w:t>
            </w:r>
          </w:p>
        </w:tc>
        <w:tc>
          <w:tcPr>
            <w:tcW w:w="2410" w:type="dxa"/>
            <w:vAlign w:val="bottom"/>
          </w:tcPr>
          <w:p w14:paraId="779029AC" w14:textId="2D3BA0B1"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0,6 %</w:t>
            </w:r>
          </w:p>
        </w:tc>
        <w:tc>
          <w:tcPr>
            <w:tcW w:w="2126" w:type="dxa"/>
            <w:vAlign w:val="bottom"/>
          </w:tcPr>
          <w:p w14:paraId="709BB0EE" w14:textId="36F01503"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7,9 %</w:t>
            </w:r>
          </w:p>
        </w:tc>
        <w:tc>
          <w:tcPr>
            <w:tcW w:w="2064" w:type="dxa"/>
            <w:vAlign w:val="bottom"/>
          </w:tcPr>
          <w:p w14:paraId="1FDF87A2" w14:textId="6934094F"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7,94 €</w:t>
            </w:r>
          </w:p>
        </w:tc>
      </w:tr>
      <w:tr w:rsidR="00F26A37" w:rsidRPr="00A64479" w14:paraId="7274DE85"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3E904DFE" w14:textId="54DCFD1C"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Burgos</w:t>
            </w:r>
          </w:p>
        </w:tc>
        <w:tc>
          <w:tcPr>
            <w:tcW w:w="2410" w:type="dxa"/>
            <w:vAlign w:val="bottom"/>
          </w:tcPr>
          <w:p w14:paraId="410CE74F" w14:textId="76068CDA"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0,7 %</w:t>
            </w:r>
          </w:p>
        </w:tc>
        <w:tc>
          <w:tcPr>
            <w:tcW w:w="2126" w:type="dxa"/>
            <w:vAlign w:val="bottom"/>
          </w:tcPr>
          <w:p w14:paraId="271299F7" w14:textId="373BDE4D"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6,2 %</w:t>
            </w:r>
          </w:p>
        </w:tc>
        <w:tc>
          <w:tcPr>
            <w:tcW w:w="2064" w:type="dxa"/>
            <w:vAlign w:val="bottom"/>
          </w:tcPr>
          <w:p w14:paraId="0FA97186" w14:textId="5A2F2FFE"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7,01 €</w:t>
            </w:r>
          </w:p>
        </w:tc>
      </w:tr>
      <w:tr w:rsidR="00F26A37" w:rsidRPr="00A64479" w14:paraId="0679A68C"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0889810B" w14:textId="032FC751"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Zaragoza</w:t>
            </w:r>
          </w:p>
        </w:tc>
        <w:tc>
          <w:tcPr>
            <w:tcW w:w="2410" w:type="dxa"/>
            <w:vAlign w:val="bottom"/>
          </w:tcPr>
          <w:p w14:paraId="1E2825B1" w14:textId="444B061D"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0,8 %</w:t>
            </w:r>
          </w:p>
        </w:tc>
        <w:tc>
          <w:tcPr>
            <w:tcW w:w="2126" w:type="dxa"/>
            <w:vAlign w:val="bottom"/>
          </w:tcPr>
          <w:p w14:paraId="053AAE9A" w14:textId="7B528694"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2,8 %</w:t>
            </w:r>
          </w:p>
        </w:tc>
        <w:tc>
          <w:tcPr>
            <w:tcW w:w="2064" w:type="dxa"/>
            <w:vAlign w:val="bottom"/>
          </w:tcPr>
          <w:p w14:paraId="3748FF5F" w14:textId="412D91A8"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8,76 €</w:t>
            </w:r>
          </w:p>
        </w:tc>
      </w:tr>
      <w:tr w:rsidR="00F26A37" w:rsidRPr="00A64479" w14:paraId="19130BD0"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03F703D5" w14:textId="63FF9A3A"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Araba - Álava</w:t>
            </w:r>
          </w:p>
        </w:tc>
        <w:tc>
          <w:tcPr>
            <w:tcW w:w="2410" w:type="dxa"/>
            <w:vAlign w:val="bottom"/>
          </w:tcPr>
          <w:p w14:paraId="365AB3FB" w14:textId="66D9F372"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1,1 %</w:t>
            </w:r>
          </w:p>
        </w:tc>
        <w:tc>
          <w:tcPr>
            <w:tcW w:w="2126" w:type="dxa"/>
            <w:vAlign w:val="bottom"/>
          </w:tcPr>
          <w:p w14:paraId="50B78776" w14:textId="622451AA"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 </w:t>
            </w:r>
          </w:p>
        </w:tc>
        <w:tc>
          <w:tcPr>
            <w:tcW w:w="2064" w:type="dxa"/>
            <w:vAlign w:val="bottom"/>
          </w:tcPr>
          <w:p w14:paraId="2BD4AD8F" w14:textId="1AFB979A"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10,10 €</w:t>
            </w:r>
          </w:p>
        </w:tc>
      </w:tr>
      <w:tr w:rsidR="00F26A37" w:rsidRPr="00A64479" w14:paraId="03987A37"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0AB8DB45" w14:textId="44CC5234"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Gipuzkoa</w:t>
            </w:r>
          </w:p>
        </w:tc>
        <w:tc>
          <w:tcPr>
            <w:tcW w:w="2410" w:type="dxa"/>
            <w:vAlign w:val="bottom"/>
          </w:tcPr>
          <w:p w14:paraId="70C09C16" w14:textId="78618058"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1,2 %</w:t>
            </w:r>
          </w:p>
        </w:tc>
        <w:tc>
          <w:tcPr>
            <w:tcW w:w="2126" w:type="dxa"/>
            <w:vAlign w:val="bottom"/>
          </w:tcPr>
          <w:p w14:paraId="2830F6C6" w14:textId="52D3670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6,9 %</w:t>
            </w:r>
          </w:p>
        </w:tc>
        <w:tc>
          <w:tcPr>
            <w:tcW w:w="2064" w:type="dxa"/>
            <w:vAlign w:val="bottom"/>
          </w:tcPr>
          <w:p w14:paraId="7977CA4A" w14:textId="60B8B7BA"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15,44 €</w:t>
            </w:r>
          </w:p>
        </w:tc>
      </w:tr>
      <w:tr w:rsidR="00F26A37" w:rsidRPr="00A64479" w14:paraId="58A6B093"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0B9530E1" w14:textId="0AC646D4"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Girona</w:t>
            </w:r>
          </w:p>
        </w:tc>
        <w:tc>
          <w:tcPr>
            <w:tcW w:w="2410" w:type="dxa"/>
            <w:vAlign w:val="bottom"/>
          </w:tcPr>
          <w:p w14:paraId="7580D13F" w14:textId="140E154B"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1,3 %</w:t>
            </w:r>
          </w:p>
        </w:tc>
        <w:tc>
          <w:tcPr>
            <w:tcW w:w="2126" w:type="dxa"/>
            <w:vAlign w:val="bottom"/>
          </w:tcPr>
          <w:p w14:paraId="69E84FDA" w14:textId="4F32A194"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3,5 %</w:t>
            </w:r>
          </w:p>
        </w:tc>
        <w:tc>
          <w:tcPr>
            <w:tcW w:w="2064" w:type="dxa"/>
            <w:vAlign w:val="bottom"/>
          </w:tcPr>
          <w:p w14:paraId="104C42AD" w14:textId="61ECFEDC"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9,51 €</w:t>
            </w:r>
          </w:p>
        </w:tc>
      </w:tr>
      <w:tr w:rsidR="00F26A37" w:rsidRPr="00A64479" w14:paraId="3EFB670F"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0DD0ED6B" w14:textId="25164596"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Ávila</w:t>
            </w:r>
          </w:p>
        </w:tc>
        <w:tc>
          <w:tcPr>
            <w:tcW w:w="2410" w:type="dxa"/>
            <w:vAlign w:val="bottom"/>
          </w:tcPr>
          <w:p w14:paraId="2330D892" w14:textId="58C9FCE0"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1,5 %</w:t>
            </w:r>
          </w:p>
        </w:tc>
        <w:tc>
          <w:tcPr>
            <w:tcW w:w="2126" w:type="dxa"/>
            <w:vAlign w:val="bottom"/>
          </w:tcPr>
          <w:p w14:paraId="23F12372" w14:textId="3AD26F7F"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9,4 %</w:t>
            </w:r>
          </w:p>
        </w:tc>
        <w:tc>
          <w:tcPr>
            <w:tcW w:w="2064" w:type="dxa"/>
            <w:vAlign w:val="bottom"/>
          </w:tcPr>
          <w:p w14:paraId="74E98E0C" w14:textId="283FB98B"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5,94 €</w:t>
            </w:r>
          </w:p>
        </w:tc>
      </w:tr>
      <w:tr w:rsidR="00F26A37" w:rsidRPr="00A64479" w14:paraId="54F07A12"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4DAD784D" w14:textId="3C8CE550"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Pontevedra</w:t>
            </w:r>
          </w:p>
        </w:tc>
        <w:tc>
          <w:tcPr>
            <w:tcW w:w="2410" w:type="dxa"/>
            <w:vAlign w:val="bottom"/>
          </w:tcPr>
          <w:p w14:paraId="12ECF140" w14:textId="0A11D242"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1,5 %</w:t>
            </w:r>
          </w:p>
        </w:tc>
        <w:tc>
          <w:tcPr>
            <w:tcW w:w="2126" w:type="dxa"/>
            <w:vAlign w:val="bottom"/>
          </w:tcPr>
          <w:p w14:paraId="26EFDE79" w14:textId="0CD01947"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11,4 %</w:t>
            </w:r>
          </w:p>
        </w:tc>
        <w:tc>
          <w:tcPr>
            <w:tcW w:w="2064" w:type="dxa"/>
            <w:vAlign w:val="bottom"/>
          </w:tcPr>
          <w:p w14:paraId="5B36809A" w14:textId="1FB38F5A"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7,91 €</w:t>
            </w:r>
          </w:p>
        </w:tc>
      </w:tr>
      <w:tr w:rsidR="00F26A37" w:rsidRPr="00A64479" w14:paraId="21FCBACD"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4707B631" w14:textId="0FB5230E"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Albacete</w:t>
            </w:r>
          </w:p>
        </w:tc>
        <w:tc>
          <w:tcPr>
            <w:tcW w:w="2410" w:type="dxa"/>
            <w:vAlign w:val="bottom"/>
          </w:tcPr>
          <w:p w14:paraId="0DE54A19" w14:textId="44D847C5"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2,3 %</w:t>
            </w:r>
          </w:p>
        </w:tc>
        <w:tc>
          <w:tcPr>
            <w:tcW w:w="2126" w:type="dxa"/>
            <w:vAlign w:val="bottom"/>
          </w:tcPr>
          <w:p w14:paraId="305861D2" w14:textId="76686E5D"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11,7 %</w:t>
            </w:r>
          </w:p>
        </w:tc>
        <w:tc>
          <w:tcPr>
            <w:tcW w:w="2064" w:type="dxa"/>
            <w:vAlign w:val="bottom"/>
          </w:tcPr>
          <w:p w14:paraId="49AD8CBB" w14:textId="7EB204B8"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6,58 €</w:t>
            </w:r>
          </w:p>
        </w:tc>
      </w:tr>
      <w:tr w:rsidR="00F26A37" w:rsidRPr="00A64479" w14:paraId="27A0AD66"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7970E48" w14:textId="515DE004"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La Rioja</w:t>
            </w:r>
          </w:p>
        </w:tc>
        <w:tc>
          <w:tcPr>
            <w:tcW w:w="2410" w:type="dxa"/>
            <w:vAlign w:val="bottom"/>
          </w:tcPr>
          <w:p w14:paraId="790BC8C1" w14:textId="17116801"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2,6 %</w:t>
            </w:r>
          </w:p>
        </w:tc>
        <w:tc>
          <w:tcPr>
            <w:tcW w:w="2126" w:type="dxa"/>
            <w:vAlign w:val="bottom"/>
          </w:tcPr>
          <w:p w14:paraId="542183D5" w14:textId="673E12BB"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7,8 %</w:t>
            </w:r>
          </w:p>
        </w:tc>
        <w:tc>
          <w:tcPr>
            <w:tcW w:w="2064" w:type="dxa"/>
            <w:vAlign w:val="bottom"/>
          </w:tcPr>
          <w:p w14:paraId="24CB55A0" w14:textId="601AF755"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7,01 €</w:t>
            </w:r>
          </w:p>
        </w:tc>
      </w:tr>
      <w:tr w:rsidR="00F26A37" w:rsidRPr="00A64479" w14:paraId="38955BFE" w14:textId="77777777" w:rsidTr="00AA021E">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5A28E677" w14:textId="3EB47AD5"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Jaén</w:t>
            </w:r>
          </w:p>
        </w:tc>
        <w:tc>
          <w:tcPr>
            <w:tcW w:w="2410" w:type="dxa"/>
            <w:vAlign w:val="bottom"/>
          </w:tcPr>
          <w:p w14:paraId="6E1E36D9" w14:textId="5D14EC3A"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3,2 %</w:t>
            </w:r>
          </w:p>
        </w:tc>
        <w:tc>
          <w:tcPr>
            <w:tcW w:w="2126" w:type="dxa"/>
            <w:vAlign w:val="bottom"/>
          </w:tcPr>
          <w:p w14:paraId="182B17F3" w14:textId="427B2F8C"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7,0 %</w:t>
            </w:r>
          </w:p>
        </w:tc>
        <w:tc>
          <w:tcPr>
            <w:tcW w:w="2064" w:type="dxa"/>
            <w:vAlign w:val="bottom"/>
          </w:tcPr>
          <w:p w14:paraId="48427528" w14:textId="662AB26B"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5,19 €</w:t>
            </w:r>
          </w:p>
        </w:tc>
      </w:tr>
      <w:tr w:rsidR="00F26A37" w:rsidRPr="00A64479" w14:paraId="30CE9BAE" w14:textId="77777777" w:rsidTr="00AA021E">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54F6FEA8" w14:textId="1FC40C5D"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Lugo</w:t>
            </w:r>
          </w:p>
        </w:tc>
        <w:tc>
          <w:tcPr>
            <w:tcW w:w="2410" w:type="dxa"/>
            <w:vAlign w:val="bottom"/>
          </w:tcPr>
          <w:p w14:paraId="229455A4" w14:textId="2FE78020"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3,3 %</w:t>
            </w:r>
          </w:p>
        </w:tc>
        <w:tc>
          <w:tcPr>
            <w:tcW w:w="2126" w:type="dxa"/>
            <w:vAlign w:val="bottom"/>
          </w:tcPr>
          <w:p w14:paraId="2FA6298E" w14:textId="1329D059"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12,9 %</w:t>
            </w:r>
          </w:p>
        </w:tc>
        <w:tc>
          <w:tcPr>
            <w:tcW w:w="2064" w:type="dxa"/>
            <w:vAlign w:val="bottom"/>
          </w:tcPr>
          <w:p w14:paraId="1494F02D" w14:textId="4D6362C6"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5,61 €</w:t>
            </w:r>
          </w:p>
        </w:tc>
      </w:tr>
      <w:tr w:rsidR="00F26A37" w:rsidRPr="00A64479" w14:paraId="351D1FFF" w14:textId="77777777" w:rsidTr="00B370C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35659A2E" w14:textId="0A71B6FF"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Huesca</w:t>
            </w:r>
          </w:p>
        </w:tc>
        <w:tc>
          <w:tcPr>
            <w:tcW w:w="2410" w:type="dxa"/>
          </w:tcPr>
          <w:p w14:paraId="15D8968E" w14:textId="0FC92261"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A64479">
              <w:rPr>
                <w:rFonts w:ascii="Open Sans" w:hAnsi="Open Sans" w:cs="Open Sans"/>
                <w:sz w:val="22"/>
                <w:szCs w:val="22"/>
              </w:rPr>
              <w:t>-</w:t>
            </w:r>
          </w:p>
        </w:tc>
        <w:tc>
          <w:tcPr>
            <w:tcW w:w="2126" w:type="dxa"/>
          </w:tcPr>
          <w:p w14:paraId="31146FC6" w14:textId="4B6BB1EB"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A64479">
              <w:rPr>
                <w:rFonts w:ascii="Open Sans" w:hAnsi="Open Sans" w:cs="Open Sans"/>
                <w:sz w:val="22"/>
                <w:szCs w:val="22"/>
              </w:rPr>
              <w:t>-</w:t>
            </w:r>
          </w:p>
        </w:tc>
        <w:tc>
          <w:tcPr>
            <w:tcW w:w="2064" w:type="dxa"/>
          </w:tcPr>
          <w:p w14:paraId="7810BC85" w14:textId="64DB4F00"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64479">
              <w:rPr>
                <w:rFonts w:ascii="Open Sans" w:hAnsi="Open Sans" w:cs="Open Sans"/>
                <w:sz w:val="22"/>
                <w:szCs w:val="22"/>
              </w:rPr>
              <w:t>-</w:t>
            </w:r>
          </w:p>
        </w:tc>
      </w:tr>
      <w:tr w:rsidR="00F26A37" w:rsidRPr="00A64479" w14:paraId="25C76F10" w14:textId="77777777" w:rsidTr="00B370CF">
        <w:trPr>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7970CF2B" w14:textId="7DD4FC7A"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Teruel</w:t>
            </w:r>
          </w:p>
        </w:tc>
        <w:tc>
          <w:tcPr>
            <w:tcW w:w="2410" w:type="dxa"/>
          </w:tcPr>
          <w:p w14:paraId="77C89DDB" w14:textId="3FCCBE39"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A64479">
              <w:rPr>
                <w:rFonts w:ascii="Open Sans" w:hAnsi="Open Sans" w:cs="Open Sans"/>
                <w:sz w:val="22"/>
                <w:szCs w:val="22"/>
              </w:rPr>
              <w:t>-</w:t>
            </w:r>
          </w:p>
        </w:tc>
        <w:tc>
          <w:tcPr>
            <w:tcW w:w="2126" w:type="dxa"/>
          </w:tcPr>
          <w:p w14:paraId="665CC76D" w14:textId="689C34A5"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A64479">
              <w:rPr>
                <w:rFonts w:ascii="Open Sans" w:hAnsi="Open Sans" w:cs="Open Sans"/>
                <w:sz w:val="22"/>
                <w:szCs w:val="22"/>
              </w:rPr>
              <w:t>-</w:t>
            </w:r>
          </w:p>
        </w:tc>
        <w:tc>
          <w:tcPr>
            <w:tcW w:w="2064" w:type="dxa"/>
          </w:tcPr>
          <w:p w14:paraId="105B9DF5" w14:textId="4C72A411" w:rsidR="00F26A37" w:rsidRPr="00A64479" w:rsidRDefault="00F26A37" w:rsidP="00F26A37">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A64479">
              <w:rPr>
                <w:rFonts w:ascii="Open Sans" w:hAnsi="Open Sans" w:cs="Open Sans"/>
                <w:sz w:val="22"/>
                <w:szCs w:val="22"/>
              </w:rPr>
              <w:t>-</w:t>
            </w:r>
          </w:p>
        </w:tc>
      </w:tr>
      <w:tr w:rsidR="00F26A37" w:rsidRPr="00A64479" w14:paraId="2CDF1761" w14:textId="77777777" w:rsidTr="00B370C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552" w:type="dxa"/>
            <w:vAlign w:val="bottom"/>
          </w:tcPr>
          <w:p w14:paraId="013737EF" w14:textId="281DAE4F" w:rsidR="00F26A37" w:rsidRPr="00F26A37" w:rsidRDefault="00F26A37" w:rsidP="00F26A37">
            <w:pPr>
              <w:rPr>
                <w:rFonts w:ascii="Open Sans" w:hAnsi="Open Sans" w:cs="Open Sans"/>
                <w:b w:val="0"/>
                <w:bCs w:val="0"/>
                <w:sz w:val="22"/>
                <w:szCs w:val="22"/>
              </w:rPr>
            </w:pPr>
            <w:r w:rsidRPr="00F26A37">
              <w:rPr>
                <w:rFonts w:ascii="Open Sans" w:hAnsi="Open Sans" w:cs="Open Sans"/>
                <w:b w:val="0"/>
                <w:bCs w:val="0"/>
                <w:sz w:val="22"/>
                <w:szCs w:val="22"/>
              </w:rPr>
              <w:t>Soria</w:t>
            </w:r>
          </w:p>
        </w:tc>
        <w:tc>
          <w:tcPr>
            <w:tcW w:w="2410" w:type="dxa"/>
          </w:tcPr>
          <w:p w14:paraId="3E697782" w14:textId="1F1721EF"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64479">
              <w:rPr>
                <w:rFonts w:ascii="Open Sans" w:hAnsi="Open Sans" w:cs="Open Sans"/>
                <w:sz w:val="22"/>
                <w:szCs w:val="22"/>
              </w:rPr>
              <w:t>-</w:t>
            </w:r>
          </w:p>
        </w:tc>
        <w:tc>
          <w:tcPr>
            <w:tcW w:w="2126" w:type="dxa"/>
          </w:tcPr>
          <w:p w14:paraId="6F1A8C18" w14:textId="519CCC6D"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64479">
              <w:rPr>
                <w:rFonts w:ascii="Open Sans" w:hAnsi="Open Sans" w:cs="Open Sans"/>
                <w:sz w:val="22"/>
                <w:szCs w:val="22"/>
              </w:rPr>
              <w:t>-</w:t>
            </w:r>
          </w:p>
        </w:tc>
        <w:tc>
          <w:tcPr>
            <w:tcW w:w="2064" w:type="dxa"/>
          </w:tcPr>
          <w:p w14:paraId="687D602A" w14:textId="650CFDAF" w:rsidR="00F26A37" w:rsidRPr="00A64479" w:rsidRDefault="00F26A37" w:rsidP="00F26A37">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A64479">
              <w:rPr>
                <w:rFonts w:ascii="Open Sans" w:hAnsi="Open Sans" w:cs="Open Sans"/>
                <w:sz w:val="22"/>
                <w:szCs w:val="22"/>
              </w:rPr>
              <w:t>-</w:t>
            </w:r>
          </w:p>
        </w:tc>
      </w:tr>
    </w:tbl>
    <w:p w14:paraId="64EED2A4" w14:textId="77777777" w:rsidR="00DB0D52" w:rsidRDefault="00DB0D52" w:rsidP="00F248C4">
      <w:pPr>
        <w:spacing w:line="276" w:lineRule="auto"/>
        <w:ind w:right="-574"/>
        <w:jc w:val="both"/>
        <w:rPr>
          <w:rFonts w:ascii="Open Sans" w:hAnsi="Open Sans" w:cs="Open Sans"/>
          <w:color w:val="000000"/>
        </w:rPr>
      </w:pPr>
    </w:p>
    <w:p w14:paraId="4CDBAD33" w14:textId="6A9F5128" w:rsidR="002D774E" w:rsidRDefault="00603A5C" w:rsidP="002D774E">
      <w:pPr>
        <w:spacing w:line="276" w:lineRule="auto"/>
        <w:ind w:right="-574"/>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Municipios</w:t>
      </w:r>
    </w:p>
    <w:p w14:paraId="15E7A929" w14:textId="77777777" w:rsidR="002D774E" w:rsidRDefault="002D774E" w:rsidP="002D774E">
      <w:pPr>
        <w:spacing w:line="276" w:lineRule="auto"/>
        <w:ind w:right="-574"/>
        <w:rPr>
          <w:rFonts w:ascii="Open Sans Light" w:hAnsi="Open Sans Light" w:cs="Open Sans Light"/>
          <w:b/>
          <w:iCs/>
          <w:color w:val="303AB2"/>
          <w:sz w:val="28"/>
          <w:szCs w:val="22"/>
          <w:lang w:val="es-ES"/>
        </w:rPr>
      </w:pPr>
    </w:p>
    <w:p w14:paraId="09B1A0E8" w14:textId="065FCA38" w:rsidR="00940145" w:rsidRDefault="002D774E" w:rsidP="00940145">
      <w:pPr>
        <w:spacing w:line="276" w:lineRule="auto"/>
        <w:ind w:right="-574"/>
        <w:jc w:val="both"/>
        <w:rPr>
          <w:rFonts w:ascii="Open Sans" w:hAnsi="Open Sans" w:cs="Open Sans"/>
          <w:color w:val="000000"/>
        </w:rPr>
      </w:pPr>
      <w:r>
        <w:rPr>
          <w:rFonts w:ascii="Open Sans" w:hAnsi="Open Sans" w:cs="Open Sans"/>
          <w:color w:val="000000"/>
        </w:rPr>
        <w:t xml:space="preserve">El precio del alquiler </w:t>
      </w:r>
      <w:r w:rsidR="00CB2853">
        <w:rPr>
          <w:rFonts w:ascii="Open Sans" w:hAnsi="Open Sans" w:cs="Open Sans"/>
          <w:color w:val="000000"/>
        </w:rPr>
        <w:t>baja</w:t>
      </w:r>
      <w:r>
        <w:rPr>
          <w:rFonts w:ascii="Open Sans" w:hAnsi="Open Sans" w:cs="Open Sans"/>
          <w:color w:val="000000"/>
        </w:rPr>
        <w:t xml:space="preserve"> en </w:t>
      </w:r>
      <w:r w:rsidR="0077429B">
        <w:rPr>
          <w:rFonts w:ascii="Open Sans" w:hAnsi="Open Sans" w:cs="Open Sans"/>
          <w:color w:val="000000"/>
        </w:rPr>
        <w:t>7</w:t>
      </w:r>
      <w:r w:rsidR="00142B33">
        <w:rPr>
          <w:rFonts w:ascii="Open Sans" w:hAnsi="Open Sans" w:cs="Open Sans"/>
          <w:color w:val="000000"/>
        </w:rPr>
        <w:t>2</w:t>
      </w:r>
      <w:r w:rsidR="00B81F14">
        <w:rPr>
          <w:rFonts w:ascii="Open Sans" w:hAnsi="Open Sans" w:cs="Open Sans"/>
          <w:color w:val="000000"/>
        </w:rPr>
        <w:t xml:space="preserve"> </w:t>
      </w:r>
      <w:r>
        <w:rPr>
          <w:rFonts w:ascii="Open Sans" w:hAnsi="Open Sans" w:cs="Open Sans"/>
          <w:color w:val="000000"/>
        </w:rPr>
        <w:t>de l</w:t>
      </w:r>
      <w:r w:rsidR="005E1E21">
        <w:rPr>
          <w:rFonts w:ascii="Open Sans" w:hAnsi="Open Sans" w:cs="Open Sans"/>
          <w:color w:val="000000"/>
        </w:rPr>
        <w:t>o</w:t>
      </w:r>
      <w:r w:rsidR="00C02EB4" w:rsidRPr="00DB7E4F">
        <w:rPr>
          <w:rFonts w:ascii="Open Sans" w:hAnsi="Open Sans" w:cs="Open Sans"/>
          <w:color w:val="000000"/>
        </w:rPr>
        <w:t xml:space="preserve">s </w:t>
      </w:r>
      <w:r w:rsidR="00142B33">
        <w:rPr>
          <w:rFonts w:ascii="Open Sans" w:hAnsi="Open Sans" w:cs="Open Sans"/>
          <w:color w:val="000000"/>
        </w:rPr>
        <w:t>1</w:t>
      </w:r>
      <w:r w:rsidR="0077429B">
        <w:rPr>
          <w:rFonts w:ascii="Open Sans" w:hAnsi="Open Sans" w:cs="Open Sans"/>
          <w:color w:val="000000"/>
        </w:rPr>
        <w:t>06</w:t>
      </w:r>
      <w:r w:rsidR="00700D43">
        <w:rPr>
          <w:rFonts w:ascii="Open Sans" w:hAnsi="Open Sans" w:cs="Open Sans"/>
          <w:color w:val="000000"/>
        </w:rPr>
        <w:t xml:space="preserve"> </w:t>
      </w:r>
      <w:r w:rsidR="0077429B">
        <w:rPr>
          <w:rFonts w:ascii="Open Sans" w:hAnsi="Open Sans" w:cs="Open Sans"/>
          <w:color w:val="000000"/>
        </w:rPr>
        <w:t xml:space="preserve">(68%) </w:t>
      </w:r>
      <w:r w:rsidR="00314A58">
        <w:rPr>
          <w:rFonts w:ascii="Open Sans" w:hAnsi="Open Sans" w:cs="Open Sans"/>
          <w:color w:val="000000"/>
        </w:rPr>
        <w:t xml:space="preserve">municipios </w:t>
      </w:r>
      <w:r w:rsidR="00314A58" w:rsidRPr="00DB7E4F">
        <w:rPr>
          <w:rFonts w:ascii="Open Sans" w:hAnsi="Open Sans" w:cs="Open Sans"/>
          <w:color w:val="000000"/>
        </w:rPr>
        <w:t>analizados</w:t>
      </w:r>
      <w:r w:rsidR="00314A58">
        <w:rPr>
          <w:rFonts w:ascii="Open Sans" w:hAnsi="Open Sans" w:cs="Open Sans"/>
          <w:color w:val="000000"/>
        </w:rPr>
        <w:t xml:space="preserve"> con variación mensual.</w:t>
      </w:r>
      <w:r w:rsidR="00C02EB4">
        <w:rPr>
          <w:rFonts w:ascii="Open Sans" w:hAnsi="Open Sans" w:cs="Open Sans"/>
          <w:color w:val="000000"/>
        </w:rPr>
        <w:t xml:space="preserve"> </w:t>
      </w:r>
      <w:r w:rsidR="00940145">
        <w:rPr>
          <w:rFonts w:ascii="Open Sans" w:hAnsi="Open Sans" w:cs="Open Sans"/>
          <w:color w:val="000000"/>
        </w:rPr>
        <w:t xml:space="preserve">Las cinco ciudades con mayores descensos son </w:t>
      </w:r>
      <w:r w:rsidR="00940145" w:rsidRPr="00940145">
        <w:rPr>
          <w:rFonts w:ascii="Open Sans" w:hAnsi="Open Sans" w:cs="Open Sans"/>
          <w:color w:val="000000"/>
        </w:rPr>
        <w:t>Calvià</w:t>
      </w:r>
      <w:r w:rsidR="00940145">
        <w:rPr>
          <w:rFonts w:ascii="Open Sans" w:hAnsi="Open Sans" w:cs="Open Sans"/>
          <w:color w:val="000000"/>
        </w:rPr>
        <w:t xml:space="preserve"> (-8%),</w:t>
      </w:r>
      <w:r w:rsidR="00940145" w:rsidRPr="00940145">
        <w:rPr>
          <w:rFonts w:ascii="Open Sans" w:hAnsi="Open Sans" w:cs="Open Sans"/>
          <w:color w:val="000000"/>
        </w:rPr>
        <w:t>Torrevieja</w:t>
      </w:r>
      <w:r w:rsidR="00940145">
        <w:rPr>
          <w:rFonts w:ascii="Open Sans" w:hAnsi="Open Sans" w:cs="Open Sans"/>
          <w:color w:val="000000"/>
        </w:rPr>
        <w:t xml:space="preserve"> (-7%), </w:t>
      </w:r>
      <w:r w:rsidR="00940145" w:rsidRPr="00940145">
        <w:rPr>
          <w:rFonts w:ascii="Open Sans" w:hAnsi="Open Sans" w:cs="Open Sans"/>
          <w:color w:val="000000"/>
        </w:rPr>
        <w:t>El Puerto de Santa María</w:t>
      </w:r>
      <w:r w:rsidR="00940145">
        <w:rPr>
          <w:rFonts w:ascii="Open Sans" w:hAnsi="Open Sans" w:cs="Open Sans"/>
          <w:color w:val="000000"/>
        </w:rPr>
        <w:t xml:space="preserve"> (-6,9%), </w:t>
      </w:r>
      <w:r w:rsidR="00940145" w:rsidRPr="00940145">
        <w:rPr>
          <w:rFonts w:ascii="Open Sans" w:hAnsi="Open Sans" w:cs="Open Sans"/>
          <w:color w:val="000000"/>
        </w:rPr>
        <w:t>Paterna</w:t>
      </w:r>
      <w:r w:rsidR="00940145">
        <w:rPr>
          <w:rFonts w:ascii="Open Sans" w:hAnsi="Open Sans" w:cs="Open Sans"/>
          <w:color w:val="000000"/>
        </w:rPr>
        <w:t xml:space="preserve"> (-6,9%) y </w:t>
      </w:r>
      <w:r w:rsidR="00940145" w:rsidRPr="00940145">
        <w:rPr>
          <w:rFonts w:ascii="Open Sans" w:hAnsi="Open Sans" w:cs="Open Sans"/>
          <w:color w:val="000000"/>
        </w:rPr>
        <w:t>Benidorm</w:t>
      </w:r>
      <w:r w:rsidR="00940145">
        <w:rPr>
          <w:rFonts w:ascii="Open Sans" w:hAnsi="Open Sans" w:cs="Open Sans"/>
          <w:color w:val="000000"/>
        </w:rPr>
        <w:t xml:space="preserve"> (-5,6%).</w:t>
      </w:r>
    </w:p>
    <w:p w14:paraId="46CAB102" w14:textId="08D3F398" w:rsidR="00940145" w:rsidRDefault="004D6C58" w:rsidP="00940145">
      <w:pPr>
        <w:pStyle w:val="NormalWeb"/>
        <w:spacing w:after="225" w:line="276" w:lineRule="auto"/>
        <w:ind w:right="-574"/>
        <w:jc w:val="both"/>
        <w:rPr>
          <w:rFonts w:ascii="Open Sans" w:hAnsi="Open Sans" w:cs="Open Sans"/>
          <w:color w:val="000000"/>
        </w:rPr>
      </w:pPr>
      <w:r>
        <w:rPr>
          <w:rFonts w:ascii="Open Sans" w:hAnsi="Open Sans" w:cs="Open Sans"/>
          <w:color w:val="000000"/>
        </w:rPr>
        <w:t>Por otro lado, la</w:t>
      </w:r>
      <w:r w:rsidR="0010410E">
        <w:rPr>
          <w:rFonts w:ascii="Open Sans" w:hAnsi="Open Sans" w:cs="Open Sans"/>
          <w:color w:val="000000"/>
        </w:rPr>
        <w:t>s</w:t>
      </w:r>
      <w:r>
        <w:rPr>
          <w:rFonts w:ascii="Open Sans" w:hAnsi="Open Sans" w:cs="Open Sans"/>
          <w:color w:val="000000"/>
        </w:rPr>
        <w:t xml:space="preserve"> </w:t>
      </w:r>
      <w:r w:rsidR="00940145">
        <w:rPr>
          <w:rFonts w:ascii="Open Sans" w:hAnsi="Open Sans" w:cs="Open Sans"/>
          <w:color w:val="000000"/>
        </w:rPr>
        <w:t xml:space="preserve">cinco </w:t>
      </w:r>
      <w:r>
        <w:rPr>
          <w:rFonts w:ascii="Open Sans" w:hAnsi="Open Sans" w:cs="Open Sans"/>
          <w:color w:val="000000"/>
        </w:rPr>
        <w:t>ciudad</w:t>
      </w:r>
      <w:r w:rsidR="0010410E">
        <w:rPr>
          <w:rFonts w:ascii="Open Sans" w:hAnsi="Open Sans" w:cs="Open Sans"/>
          <w:color w:val="000000"/>
        </w:rPr>
        <w:t>es</w:t>
      </w:r>
      <w:r>
        <w:rPr>
          <w:rFonts w:ascii="Open Sans" w:hAnsi="Open Sans" w:cs="Open Sans"/>
          <w:color w:val="000000"/>
        </w:rPr>
        <w:t xml:space="preserve"> con </w:t>
      </w:r>
      <w:r w:rsidR="00F87F4F">
        <w:rPr>
          <w:rFonts w:ascii="Open Sans" w:hAnsi="Open Sans" w:cs="Open Sans"/>
          <w:color w:val="000000"/>
        </w:rPr>
        <w:t>incremento</w:t>
      </w:r>
      <w:r>
        <w:rPr>
          <w:rFonts w:ascii="Open Sans" w:hAnsi="Open Sans" w:cs="Open Sans"/>
          <w:color w:val="000000"/>
        </w:rPr>
        <w:t xml:space="preserve"> mensual </w:t>
      </w:r>
      <w:r w:rsidR="0010410E">
        <w:rPr>
          <w:rFonts w:ascii="Open Sans" w:hAnsi="Open Sans" w:cs="Open Sans"/>
          <w:color w:val="000000"/>
        </w:rPr>
        <w:t>son:</w:t>
      </w:r>
      <w:r w:rsidR="002E79CF" w:rsidRPr="00667505">
        <w:rPr>
          <w:rFonts w:ascii="Open Sans" w:hAnsi="Open Sans" w:cs="Open Sans"/>
          <w:color w:val="000000"/>
        </w:rPr>
        <w:t xml:space="preserve"> </w:t>
      </w:r>
      <w:r w:rsidR="00940145" w:rsidRPr="00940145">
        <w:rPr>
          <w:rFonts w:ascii="Open Sans" w:hAnsi="Open Sans" w:cs="Open Sans"/>
          <w:color w:val="000000"/>
        </w:rPr>
        <w:t>Alcorcón</w:t>
      </w:r>
      <w:r w:rsidR="00940145">
        <w:rPr>
          <w:rFonts w:ascii="Open Sans" w:hAnsi="Open Sans" w:cs="Open Sans"/>
          <w:color w:val="000000"/>
        </w:rPr>
        <w:t xml:space="preserve"> (4,1%), </w:t>
      </w:r>
      <w:r w:rsidR="00940145" w:rsidRPr="00940145">
        <w:rPr>
          <w:rFonts w:ascii="Open Sans" w:hAnsi="Open Sans" w:cs="Open Sans"/>
          <w:color w:val="000000"/>
        </w:rPr>
        <w:t>Avilés</w:t>
      </w:r>
      <w:r w:rsidR="00940145">
        <w:rPr>
          <w:rFonts w:ascii="Open Sans" w:hAnsi="Open Sans" w:cs="Open Sans"/>
          <w:color w:val="000000"/>
        </w:rPr>
        <w:t xml:space="preserve"> (2,6%), </w:t>
      </w:r>
      <w:r w:rsidR="00940145" w:rsidRPr="00940145">
        <w:rPr>
          <w:rFonts w:ascii="Open Sans" w:hAnsi="Open Sans" w:cs="Open Sans"/>
          <w:color w:val="000000"/>
        </w:rPr>
        <w:t>Logroño</w:t>
      </w:r>
      <w:r w:rsidR="00940145">
        <w:rPr>
          <w:rFonts w:ascii="Open Sans" w:hAnsi="Open Sans" w:cs="Open Sans"/>
          <w:color w:val="000000"/>
        </w:rPr>
        <w:t xml:space="preserve"> (2,5%), </w:t>
      </w:r>
      <w:r w:rsidR="00940145" w:rsidRPr="00940145">
        <w:rPr>
          <w:rFonts w:ascii="Open Sans" w:hAnsi="Open Sans" w:cs="Open Sans"/>
          <w:color w:val="000000"/>
        </w:rPr>
        <w:t>Girona Capital</w:t>
      </w:r>
      <w:r w:rsidR="00940145">
        <w:rPr>
          <w:rFonts w:ascii="Open Sans" w:hAnsi="Open Sans" w:cs="Open Sans"/>
          <w:color w:val="000000"/>
        </w:rPr>
        <w:t xml:space="preserve"> (2,3%) y </w:t>
      </w:r>
      <w:r w:rsidR="00940145" w:rsidRPr="00940145">
        <w:rPr>
          <w:rFonts w:ascii="Open Sans" w:hAnsi="Open Sans" w:cs="Open Sans"/>
          <w:color w:val="000000"/>
        </w:rPr>
        <w:t>Ávila Capital</w:t>
      </w:r>
      <w:r w:rsidR="00940145">
        <w:rPr>
          <w:rFonts w:ascii="Open Sans" w:hAnsi="Open Sans" w:cs="Open Sans"/>
          <w:color w:val="000000"/>
        </w:rPr>
        <w:t xml:space="preserve"> (2,1%).</w:t>
      </w:r>
    </w:p>
    <w:p w14:paraId="5805AEB6" w14:textId="0163466F" w:rsidR="00F46532" w:rsidRPr="00DB0D52" w:rsidRDefault="00316DBC" w:rsidP="00F46532">
      <w:pPr>
        <w:pStyle w:val="NormalWeb"/>
        <w:shd w:val="clear" w:color="auto" w:fill="FFFFFF"/>
        <w:spacing w:after="225" w:line="276" w:lineRule="auto"/>
        <w:ind w:right="-574"/>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lastRenderedPageBreak/>
        <w:t>Municipios</w:t>
      </w:r>
      <w:r w:rsidR="00F46532" w:rsidRPr="00DB0D52">
        <w:rPr>
          <w:rFonts w:ascii="Open Sans Light" w:hAnsi="Open Sans Light" w:cs="Open Sans Light"/>
          <w:b/>
          <w:iCs/>
          <w:color w:val="303AB2"/>
          <w:sz w:val="28"/>
          <w:szCs w:val="22"/>
        </w:rPr>
        <w:t xml:space="preserve"> con mayor </w:t>
      </w:r>
      <w:r w:rsidR="00667505">
        <w:rPr>
          <w:rFonts w:ascii="Open Sans Light" w:hAnsi="Open Sans Light" w:cs="Open Sans Light"/>
          <w:b/>
          <w:iCs/>
          <w:color w:val="303AB2"/>
          <w:sz w:val="28"/>
          <w:szCs w:val="22"/>
        </w:rPr>
        <w:t>descenso</w:t>
      </w:r>
      <w:r w:rsidR="00F46532" w:rsidRPr="00DB0D52">
        <w:rPr>
          <w:rFonts w:ascii="Open Sans Light" w:hAnsi="Open Sans Light" w:cs="Open Sans Light"/>
          <w:b/>
          <w:iCs/>
          <w:color w:val="303AB2"/>
          <w:sz w:val="28"/>
          <w:szCs w:val="22"/>
        </w:rPr>
        <w:t xml:space="preserve"> mensual</w:t>
      </w:r>
    </w:p>
    <w:tbl>
      <w:tblPr>
        <w:tblStyle w:val="Tabladecuadrcula5oscura-nfasis11"/>
        <w:tblW w:w="9016" w:type="dxa"/>
        <w:tblInd w:w="-5" w:type="dxa"/>
        <w:tblLook w:val="04A0" w:firstRow="1" w:lastRow="0" w:firstColumn="1" w:lastColumn="0" w:noHBand="0" w:noVBand="1"/>
      </w:tblPr>
      <w:tblGrid>
        <w:gridCol w:w="1418"/>
        <w:gridCol w:w="2126"/>
        <w:gridCol w:w="1843"/>
        <w:gridCol w:w="1701"/>
        <w:gridCol w:w="191"/>
        <w:gridCol w:w="1737"/>
      </w:tblGrid>
      <w:tr w:rsidR="00F46532" w:rsidRPr="000834D8" w14:paraId="06E9C7E0" w14:textId="77777777" w:rsidTr="00927A70">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D0C57AD" w14:textId="77777777" w:rsidR="00F46532" w:rsidRPr="000834D8" w:rsidRDefault="00F46532" w:rsidP="00F46532">
            <w:pPr>
              <w:rPr>
                <w:rFonts w:ascii="Open Sans" w:hAnsi="Open Sans" w:cs="Open Sans"/>
                <w:b w:val="0"/>
                <w:bCs w:val="0"/>
                <w:sz w:val="22"/>
                <w:szCs w:val="22"/>
                <w:lang w:val="es-ES"/>
              </w:rPr>
            </w:pPr>
            <w:r w:rsidRPr="000834D8">
              <w:rPr>
                <w:rFonts w:ascii="Open Sans" w:hAnsi="Open Sans" w:cs="Open Sans"/>
                <w:b w:val="0"/>
                <w:bCs w:val="0"/>
                <w:sz w:val="22"/>
                <w:szCs w:val="22"/>
                <w:lang w:val="es-ES"/>
              </w:rPr>
              <w:t>Provincia</w:t>
            </w:r>
          </w:p>
        </w:tc>
        <w:tc>
          <w:tcPr>
            <w:tcW w:w="2126" w:type="dxa"/>
            <w:vAlign w:val="center"/>
          </w:tcPr>
          <w:p w14:paraId="63186ECC" w14:textId="4FE329B3" w:rsidR="00F46532" w:rsidRPr="000834D8" w:rsidRDefault="00F46532" w:rsidP="00215AE6">
            <w:pP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0834D8">
              <w:rPr>
                <w:rFonts w:ascii="Open Sans" w:hAnsi="Open Sans" w:cs="Open Sans"/>
                <w:b w:val="0"/>
                <w:bCs w:val="0"/>
                <w:sz w:val="22"/>
                <w:szCs w:val="22"/>
                <w:lang w:val="es-ES"/>
              </w:rPr>
              <w:t>Municipio</w:t>
            </w:r>
          </w:p>
        </w:tc>
        <w:tc>
          <w:tcPr>
            <w:tcW w:w="1843" w:type="dxa"/>
          </w:tcPr>
          <w:p w14:paraId="219142A4" w14:textId="77777777" w:rsidR="00F46532" w:rsidRPr="000834D8" w:rsidRDefault="00F46532" w:rsidP="00F4653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0834D8">
              <w:rPr>
                <w:rFonts w:ascii="Open Sans" w:hAnsi="Open Sans" w:cs="Open Sans"/>
                <w:b w:val="0"/>
                <w:bCs w:val="0"/>
                <w:sz w:val="22"/>
                <w:szCs w:val="22"/>
                <w:lang w:val="es-ES"/>
              </w:rPr>
              <w:t>Variación</w:t>
            </w:r>
          </w:p>
          <w:p w14:paraId="41790972" w14:textId="5CB64F4A" w:rsidR="00F46532" w:rsidRPr="000834D8" w:rsidRDefault="00F46532" w:rsidP="00F4653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0834D8">
              <w:rPr>
                <w:rFonts w:ascii="Open Sans" w:hAnsi="Open Sans" w:cs="Open Sans"/>
                <w:b w:val="0"/>
                <w:bCs w:val="0"/>
                <w:sz w:val="22"/>
                <w:szCs w:val="22"/>
                <w:lang w:val="es-ES"/>
              </w:rPr>
              <w:t>mensual (%)</w:t>
            </w:r>
          </w:p>
        </w:tc>
        <w:tc>
          <w:tcPr>
            <w:tcW w:w="1701" w:type="dxa"/>
          </w:tcPr>
          <w:p w14:paraId="3B5F65EC" w14:textId="78326C7E" w:rsidR="00F46532" w:rsidRPr="000834D8" w:rsidRDefault="00F46532" w:rsidP="00F4653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0834D8">
              <w:rPr>
                <w:rFonts w:ascii="Open Sans" w:hAnsi="Open Sans" w:cs="Open Sans"/>
                <w:b w:val="0"/>
                <w:bCs w:val="0"/>
                <w:sz w:val="22"/>
                <w:szCs w:val="22"/>
                <w:lang w:val="es-ES"/>
              </w:rPr>
              <w:t>Variación interanual (%)</w:t>
            </w:r>
          </w:p>
        </w:tc>
        <w:tc>
          <w:tcPr>
            <w:tcW w:w="1928" w:type="dxa"/>
            <w:gridSpan w:val="2"/>
            <w:vAlign w:val="center"/>
          </w:tcPr>
          <w:p w14:paraId="55D5D218" w14:textId="6D8833DA" w:rsidR="00F46532" w:rsidRPr="000834D8" w:rsidRDefault="00940145" w:rsidP="00940145">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Pr>
                <w:rFonts w:ascii="Open Sans" w:hAnsi="Open Sans" w:cs="Open Sans"/>
                <w:b w:val="0"/>
                <w:bCs w:val="0"/>
                <w:sz w:val="22"/>
                <w:szCs w:val="22"/>
                <w:lang w:val="es-ES"/>
              </w:rPr>
              <w:t>Oct.</w:t>
            </w:r>
            <w:r w:rsidR="00CB0803" w:rsidRPr="000834D8">
              <w:rPr>
                <w:rFonts w:ascii="Open Sans" w:hAnsi="Open Sans" w:cs="Open Sans"/>
                <w:b w:val="0"/>
                <w:bCs w:val="0"/>
                <w:sz w:val="22"/>
                <w:szCs w:val="22"/>
                <w:lang w:val="es-ES"/>
              </w:rPr>
              <w:t>2020</w:t>
            </w:r>
            <w:r w:rsidR="00F46532" w:rsidRPr="000834D8">
              <w:rPr>
                <w:rFonts w:ascii="Open Sans" w:hAnsi="Open Sans" w:cs="Open Sans"/>
                <w:b w:val="0"/>
                <w:bCs w:val="0"/>
                <w:sz w:val="22"/>
                <w:szCs w:val="22"/>
                <w:lang w:val="es-ES"/>
              </w:rPr>
              <w:br/>
              <w:t>(€/m</w:t>
            </w:r>
            <w:r w:rsidR="00F46532" w:rsidRPr="000834D8">
              <w:rPr>
                <w:rFonts w:ascii="Open Sans" w:hAnsi="Open Sans" w:cs="Open Sans"/>
                <w:b w:val="0"/>
                <w:bCs w:val="0"/>
                <w:sz w:val="22"/>
                <w:szCs w:val="22"/>
                <w:vertAlign w:val="superscript"/>
                <w:lang w:val="es-ES"/>
              </w:rPr>
              <w:t xml:space="preserve">2 </w:t>
            </w:r>
            <w:r w:rsidR="00F46532" w:rsidRPr="000834D8">
              <w:rPr>
                <w:rFonts w:ascii="Open Sans" w:hAnsi="Open Sans" w:cs="Open Sans"/>
                <w:b w:val="0"/>
                <w:bCs w:val="0"/>
                <w:sz w:val="22"/>
                <w:szCs w:val="22"/>
                <w:lang w:val="es-ES"/>
              </w:rPr>
              <w:t>al mes)</w:t>
            </w:r>
          </w:p>
        </w:tc>
      </w:tr>
      <w:tr w:rsidR="00940145" w:rsidRPr="000834D8" w14:paraId="16BC0044"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51A59818" w14:textId="7A3E869C"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Illes Balears</w:t>
            </w:r>
          </w:p>
        </w:tc>
        <w:tc>
          <w:tcPr>
            <w:tcW w:w="2126" w:type="dxa"/>
            <w:vAlign w:val="bottom"/>
          </w:tcPr>
          <w:p w14:paraId="58C8A1A4" w14:textId="7AF28165"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940145">
              <w:rPr>
                <w:rFonts w:ascii="Open Sans" w:hAnsi="Open Sans" w:cs="Open Sans"/>
                <w:sz w:val="22"/>
                <w:szCs w:val="22"/>
              </w:rPr>
              <w:t>Calvià</w:t>
            </w:r>
          </w:p>
        </w:tc>
        <w:tc>
          <w:tcPr>
            <w:tcW w:w="1843" w:type="dxa"/>
            <w:vAlign w:val="bottom"/>
          </w:tcPr>
          <w:p w14:paraId="613A31FD" w14:textId="30ECE1E3"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-8,0%</w:t>
            </w:r>
          </w:p>
        </w:tc>
        <w:tc>
          <w:tcPr>
            <w:tcW w:w="1892" w:type="dxa"/>
            <w:gridSpan w:val="2"/>
            <w:vAlign w:val="bottom"/>
          </w:tcPr>
          <w:p w14:paraId="23EDF103" w14:textId="509E4134"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t>
            </w:r>
          </w:p>
        </w:tc>
        <w:tc>
          <w:tcPr>
            <w:tcW w:w="1737" w:type="dxa"/>
            <w:vAlign w:val="bottom"/>
          </w:tcPr>
          <w:p w14:paraId="7A43D129" w14:textId="318D797F"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13,72 €</w:t>
            </w:r>
          </w:p>
        </w:tc>
      </w:tr>
      <w:tr w:rsidR="00940145" w:rsidRPr="000834D8" w14:paraId="644FC149"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562F99C" w14:textId="7259E309"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Alicante</w:t>
            </w:r>
          </w:p>
        </w:tc>
        <w:tc>
          <w:tcPr>
            <w:tcW w:w="2126" w:type="dxa"/>
            <w:vAlign w:val="bottom"/>
          </w:tcPr>
          <w:p w14:paraId="010EA566" w14:textId="12062BAC"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Torrevieja</w:t>
            </w:r>
          </w:p>
        </w:tc>
        <w:tc>
          <w:tcPr>
            <w:tcW w:w="1843" w:type="dxa"/>
            <w:vAlign w:val="bottom"/>
          </w:tcPr>
          <w:p w14:paraId="66AB2AE5" w14:textId="71A90036"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-7,0%</w:t>
            </w:r>
          </w:p>
        </w:tc>
        <w:tc>
          <w:tcPr>
            <w:tcW w:w="1892" w:type="dxa"/>
            <w:gridSpan w:val="2"/>
            <w:vAlign w:val="bottom"/>
          </w:tcPr>
          <w:p w14:paraId="29EBF7B9" w14:textId="16B41C3F"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-9,4%</w:t>
            </w:r>
          </w:p>
        </w:tc>
        <w:tc>
          <w:tcPr>
            <w:tcW w:w="1737" w:type="dxa"/>
            <w:vAlign w:val="bottom"/>
          </w:tcPr>
          <w:p w14:paraId="5C8B3A7D" w14:textId="509EFD20"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6,73 €</w:t>
            </w:r>
          </w:p>
        </w:tc>
      </w:tr>
      <w:tr w:rsidR="00940145" w:rsidRPr="000834D8" w14:paraId="718D08ED"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2B6F704" w14:textId="772E6D3E"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Cádiz</w:t>
            </w:r>
          </w:p>
        </w:tc>
        <w:tc>
          <w:tcPr>
            <w:tcW w:w="2126" w:type="dxa"/>
            <w:vAlign w:val="bottom"/>
          </w:tcPr>
          <w:p w14:paraId="202F4B11" w14:textId="6EFEDEBF"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El Puerto de Santa María</w:t>
            </w:r>
          </w:p>
        </w:tc>
        <w:tc>
          <w:tcPr>
            <w:tcW w:w="1843" w:type="dxa"/>
            <w:vAlign w:val="bottom"/>
          </w:tcPr>
          <w:p w14:paraId="5014AE3F" w14:textId="6AD05A40"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-6,9%</w:t>
            </w:r>
          </w:p>
        </w:tc>
        <w:tc>
          <w:tcPr>
            <w:tcW w:w="1892" w:type="dxa"/>
            <w:gridSpan w:val="2"/>
            <w:vAlign w:val="bottom"/>
          </w:tcPr>
          <w:p w14:paraId="515F9342" w14:textId="1EB527B5"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2,1%</w:t>
            </w:r>
          </w:p>
        </w:tc>
        <w:tc>
          <w:tcPr>
            <w:tcW w:w="1737" w:type="dxa"/>
            <w:vAlign w:val="bottom"/>
          </w:tcPr>
          <w:p w14:paraId="5AA11AC6" w14:textId="7E69EAFF"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7,82 €</w:t>
            </w:r>
          </w:p>
        </w:tc>
      </w:tr>
      <w:tr w:rsidR="00940145" w:rsidRPr="000834D8" w14:paraId="367E2C2A"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A9C549F" w14:textId="14639722"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Valencia</w:t>
            </w:r>
          </w:p>
        </w:tc>
        <w:tc>
          <w:tcPr>
            <w:tcW w:w="2126" w:type="dxa"/>
            <w:vAlign w:val="bottom"/>
          </w:tcPr>
          <w:p w14:paraId="6A674096" w14:textId="45948EA5"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Paterna</w:t>
            </w:r>
          </w:p>
        </w:tc>
        <w:tc>
          <w:tcPr>
            <w:tcW w:w="1843" w:type="dxa"/>
            <w:vAlign w:val="bottom"/>
          </w:tcPr>
          <w:p w14:paraId="360D46F8" w14:textId="55394B5B"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-6,9%</w:t>
            </w:r>
          </w:p>
        </w:tc>
        <w:tc>
          <w:tcPr>
            <w:tcW w:w="1892" w:type="dxa"/>
            <w:gridSpan w:val="2"/>
            <w:vAlign w:val="bottom"/>
          </w:tcPr>
          <w:p w14:paraId="162598C1" w14:textId="0ED3061D"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w:t>
            </w:r>
          </w:p>
        </w:tc>
        <w:tc>
          <w:tcPr>
            <w:tcW w:w="1737" w:type="dxa"/>
            <w:vAlign w:val="bottom"/>
          </w:tcPr>
          <w:p w14:paraId="3B61EAEC" w14:textId="5C791564"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7,02 €</w:t>
            </w:r>
          </w:p>
        </w:tc>
      </w:tr>
      <w:tr w:rsidR="00940145" w:rsidRPr="000834D8" w14:paraId="57E86DD7"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2171053A" w14:textId="4D9AFE21"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Alicante</w:t>
            </w:r>
          </w:p>
        </w:tc>
        <w:tc>
          <w:tcPr>
            <w:tcW w:w="2126" w:type="dxa"/>
            <w:vAlign w:val="bottom"/>
          </w:tcPr>
          <w:p w14:paraId="07E23DDE" w14:textId="7147D758"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Benidorm</w:t>
            </w:r>
          </w:p>
        </w:tc>
        <w:tc>
          <w:tcPr>
            <w:tcW w:w="1843" w:type="dxa"/>
            <w:vAlign w:val="bottom"/>
          </w:tcPr>
          <w:p w14:paraId="601B6D2B" w14:textId="736A39E9"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-5,6%</w:t>
            </w:r>
          </w:p>
        </w:tc>
        <w:tc>
          <w:tcPr>
            <w:tcW w:w="1892" w:type="dxa"/>
            <w:gridSpan w:val="2"/>
            <w:vAlign w:val="bottom"/>
          </w:tcPr>
          <w:p w14:paraId="0D6C1F2E" w14:textId="277FD42B"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1,4%</w:t>
            </w:r>
          </w:p>
        </w:tc>
        <w:tc>
          <w:tcPr>
            <w:tcW w:w="1737" w:type="dxa"/>
            <w:vAlign w:val="bottom"/>
          </w:tcPr>
          <w:p w14:paraId="07F4DDAA" w14:textId="4104F89A"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9,16 €</w:t>
            </w:r>
          </w:p>
        </w:tc>
      </w:tr>
      <w:tr w:rsidR="00940145" w:rsidRPr="000834D8" w14:paraId="6270351A"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ACABBF5" w14:textId="36EB95FF"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Alicante</w:t>
            </w:r>
          </w:p>
        </w:tc>
        <w:tc>
          <w:tcPr>
            <w:tcW w:w="2126" w:type="dxa"/>
            <w:vAlign w:val="bottom"/>
          </w:tcPr>
          <w:p w14:paraId="1E995A3B" w14:textId="46B1B641"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Alcoy / Alcoi</w:t>
            </w:r>
          </w:p>
        </w:tc>
        <w:tc>
          <w:tcPr>
            <w:tcW w:w="1843" w:type="dxa"/>
            <w:vAlign w:val="bottom"/>
          </w:tcPr>
          <w:p w14:paraId="5694D0EB" w14:textId="59897D0D"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-5,4%</w:t>
            </w:r>
          </w:p>
        </w:tc>
        <w:tc>
          <w:tcPr>
            <w:tcW w:w="1892" w:type="dxa"/>
            <w:gridSpan w:val="2"/>
            <w:vAlign w:val="bottom"/>
          </w:tcPr>
          <w:p w14:paraId="7C27540F" w14:textId="35BE47B0"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9,2%</w:t>
            </w:r>
          </w:p>
        </w:tc>
        <w:tc>
          <w:tcPr>
            <w:tcW w:w="1737" w:type="dxa"/>
            <w:vAlign w:val="bottom"/>
          </w:tcPr>
          <w:p w14:paraId="0BD0C05C" w14:textId="0DE5F05D"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4,88 €</w:t>
            </w:r>
          </w:p>
        </w:tc>
      </w:tr>
      <w:tr w:rsidR="00940145" w:rsidRPr="000834D8" w14:paraId="4CC60FAA"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5B222AE" w14:textId="49B48B0E"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Madrid</w:t>
            </w:r>
          </w:p>
        </w:tc>
        <w:tc>
          <w:tcPr>
            <w:tcW w:w="2126" w:type="dxa"/>
            <w:vAlign w:val="bottom"/>
          </w:tcPr>
          <w:p w14:paraId="1DE926D5" w14:textId="089683FE"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Aranjuez</w:t>
            </w:r>
          </w:p>
        </w:tc>
        <w:tc>
          <w:tcPr>
            <w:tcW w:w="1843" w:type="dxa"/>
            <w:vAlign w:val="bottom"/>
          </w:tcPr>
          <w:p w14:paraId="265BA796" w14:textId="70A5987B"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-5,3%</w:t>
            </w:r>
          </w:p>
        </w:tc>
        <w:tc>
          <w:tcPr>
            <w:tcW w:w="1892" w:type="dxa"/>
            <w:gridSpan w:val="2"/>
            <w:vAlign w:val="bottom"/>
          </w:tcPr>
          <w:p w14:paraId="14838702" w14:textId="511ADE67"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w:t>
            </w:r>
          </w:p>
        </w:tc>
        <w:tc>
          <w:tcPr>
            <w:tcW w:w="1737" w:type="dxa"/>
            <w:vAlign w:val="bottom"/>
          </w:tcPr>
          <w:p w14:paraId="14DF1219" w14:textId="12DFA23E"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6,65 €</w:t>
            </w:r>
          </w:p>
        </w:tc>
      </w:tr>
      <w:tr w:rsidR="00940145" w:rsidRPr="000834D8" w14:paraId="6C2E6E88"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553CAA4" w14:textId="21DD2D7D"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Alicante</w:t>
            </w:r>
          </w:p>
        </w:tc>
        <w:tc>
          <w:tcPr>
            <w:tcW w:w="2126" w:type="dxa"/>
            <w:vAlign w:val="bottom"/>
          </w:tcPr>
          <w:p w14:paraId="5A91E645" w14:textId="1852AD27"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sidRPr="00940145">
              <w:rPr>
                <w:rFonts w:ascii="Open Sans" w:hAnsi="Open Sans" w:cs="Open Sans"/>
                <w:sz w:val="22"/>
                <w:szCs w:val="22"/>
              </w:rPr>
              <w:t>Santa Pola</w:t>
            </w:r>
          </w:p>
        </w:tc>
        <w:tc>
          <w:tcPr>
            <w:tcW w:w="1843" w:type="dxa"/>
            <w:vAlign w:val="bottom"/>
          </w:tcPr>
          <w:p w14:paraId="11446FA1" w14:textId="244EE381"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-5,2%</w:t>
            </w:r>
          </w:p>
        </w:tc>
        <w:tc>
          <w:tcPr>
            <w:tcW w:w="1892" w:type="dxa"/>
            <w:gridSpan w:val="2"/>
            <w:vAlign w:val="bottom"/>
          </w:tcPr>
          <w:p w14:paraId="2A3BC61A" w14:textId="5373FE47"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-4,1%</w:t>
            </w:r>
          </w:p>
        </w:tc>
        <w:tc>
          <w:tcPr>
            <w:tcW w:w="1737" w:type="dxa"/>
            <w:vAlign w:val="bottom"/>
          </w:tcPr>
          <w:p w14:paraId="522B8F89" w14:textId="03C27D93"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7,27 €</w:t>
            </w:r>
          </w:p>
        </w:tc>
      </w:tr>
      <w:tr w:rsidR="00940145" w:rsidRPr="000834D8" w14:paraId="02A1470F"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C534999" w14:textId="66076C8B"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Alicante</w:t>
            </w:r>
          </w:p>
        </w:tc>
        <w:tc>
          <w:tcPr>
            <w:tcW w:w="2126" w:type="dxa"/>
            <w:vAlign w:val="bottom"/>
          </w:tcPr>
          <w:p w14:paraId="323B4587" w14:textId="24ECC68C"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sidRPr="00940145">
              <w:rPr>
                <w:rFonts w:ascii="Open Sans" w:hAnsi="Open Sans" w:cs="Open Sans"/>
                <w:sz w:val="22"/>
                <w:szCs w:val="22"/>
              </w:rPr>
              <w:t>El Campello</w:t>
            </w:r>
          </w:p>
        </w:tc>
        <w:tc>
          <w:tcPr>
            <w:tcW w:w="1843" w:type="dxa"/>
            <w:vAlign w:val="bottom"/>
          </w:tcPr>
          <w:p w14:paraId="57BD3EEE" w14:textId="19C2BBC4"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-5,1%</w:t>
            </w:r>
          </w:p>
        </w:tc>
        <w:tc>
          <w:tcPr>
            <w:tcW w:w="1892" w:type="dxa"/>
            <w:gridSpan w:val="2"/>
            <w:vAlign w:val="bottom"/>
          </w:tcPr>
          <w:p w14:paraId="26E728CE" w14:textId="3D7F05D2"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-1,8%</w:t>
            </w:r>
          </w:p>
        </w:tc>
        <w:tc>
          <w:tcPr>
            <w:tcW w:w="1737" w:type="dxa"/>
            <w:vAlign w:val="bottom"/>
          </w:tcPr>
          <w:p w14:paraId="0D153BBC" w14:textId="6D7348BE"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8,90 €</w:t>
            </w:r>
          </w:p>
        </w:tc>
      </w:tr>
      <w:tr w:rsidR="00940145" w:rsidRPr="000834D8" w14:paraId="283BD9A9"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02FC0ED" w14:textId="00EB2B1E"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Illes Balears</w:t>
            </w:r>
          </w:p>
        </w:tc>
        <w:tc>
          <w:tcPr>
            <w:tcW w:w="2126" w:type="dxa"/>
            <w:vAlign w:val="bottom"/>
          </w:tcPr>
          <w:p w14:paraId="4308F999" w14:textId="6BE4CDA1"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sidRPr="00940145">
              <w:rPr>
                <w:rFonts w:ascii="Open Sans" w:hAnsi="Open Sans" w:cs="Open Sans"/>
                <w:sz w:val="22"/>
                <w:szCs w:val="22"/>
              </w:rPr>
              <w:t>Llucmajor</w:t>
            </w:r>
          </w:p>
        </w:tc>
        <w:tc>
          <w:tcPr>
            <w:tcW w:w="1843" w:type="dxa"/>
            <w:vAlign w:val="bottom"/>
          </w:tcPr>
          <w:p w14:paraId="0FAB4F9C" w14:textId="56E92FFF"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-5,1%</w:t>
            </w:r>
          </w:p>
        </w:tc>
        <w:tc>
          <w:tcPr>
            <w:tcW w:w="1892" w:type="dxa"/>
            <w:gridSpan w:val="2"/>
            <w:vAlign w:val="bottom"/>
          </w:tcPr>
          <w:p w14:paraId="4A5C4794" w14:textId="65BE5049"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w:t>
            </w:r>
          </w:p>
        </w:tc>
        <w:tc>
          <w:tcPr>
            <w:tcW w:w="1737" w:type="dxa"/>
            <w:vAlign w:val="bottom"/>
          </w:tcPr>
          <w:p w14:paraId="5132E303" w14:textId="275314FE"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10,26 €</w:t>
            </w:r>
          </w:p>
        </w:tc>
      </w:tr>
    </w:tbl>
    <w:p w14:paraId="46B9A6D0" w14:textId="5083E69C" w:rsidR="00D875A1" w:rsidRPr="00DB0D52" w:rsidRDefault="00D875A1" w:rsidP="00D875A1">
      <w:pPr>
        <w:pStyle w:val="NormalWeb"/>
        <w:shd w:val="clear" w:color="auto" w:fill="FFFFFF"/>
        <w:spacing w:after="225" w:line="276" w:lineRule="auto"/>
        <w:ind w:right="-574"/>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t>Municipios</w:t>
      </w:r>
      <w:r w:rsidRPr="00DB0D52">
        <w:rPr>
          <w:rFonts w:ascii="Open Sans Light" w:hAnsi="Open Sans Light" w:cs="Open Sans Light"/>
          <w:b/>
          <w:iCs/>
          <w:color w:val="303AB2"/>
          <w:sz w:val="28"/>
          <w:szCs w:val="22"/>
        </w:rPr>
        <w:t xml:space="preserve"> con mayor </w:t>
      </w:r>
      <w:r w:rsidR="00667505">
        <w:rPr>
          <w:rFonts w:ascii="Open Sans Light" w:hAnsi="Open Sans Light" w:cs="Open Sans Light"/>
          <w:b/>
          <w:iCs/>
          <w:color w:val="303AB2"/>
          <w:sz w:val="28"/>
          <w:szCs w:val="22"/>
        </w:rPr>
        <w:t>incremento</w:t>
      </w:r>
      <w:r w:rsidRPr="00DB0D52">
        <w:rPr>
          <w:rFonts w:ascii="Open Sans Light" w:hAnsi="Open Sans Light" w:cs="Open Sans Light"/>
          <w:b/>
          <w:iCs/>
          <w:color w:val="303AB2"/>
          <w:sz w:val="28"/>
          <w:szCs w:val="22"/>
        </w:rPr>
        <w:t xml:space="preserve"> mensual</w:t>
      </w:r>
    </w:p>
    <w:tbl>
      <w:tblPr>
        <w:tblStyle w:val="Tabladecuadrcula5oscura-nfasis11"/>
        <w:tblW w:w="9016" w:type="dxa"/>
        <w:tblInd w:w="-5" w:type="dxa"/>
        <w:tblLook w:val="04A0" w:firstRow="1" w:lastRow="0" w:firstColumn="1" w:lastColumn="0" w:noHBand="0" w:noVBand="1"/>
      </w:tblPr>
      <w:tblGrid>
        <w:gridCol w:w="1418"/>
        <w:gridCol w:w="2268"/>
        <w:gridCol w:w="1843"/>
        <w:gridCol w:w="1842"/>
        <w:gridCol w:w="1645"/>
      </w:tblGrid>
      <w:tr w:rsidR="00D875A1" w:rsidRPr="000834D8" w14:paraId="4874A950" w14:textId="77777777" w:rsidTr="00927A70">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B415C18" w14:textId="77777777" w:rsidR="00D875A1" w:rsidRPr="000834D8" w:rsidRDefault="00D875A1" w:rsidP="00607C0B">
            <w:pPr>
              <w:rPr>
                <w:rFonts w:ascii="Open Sans" w:hAnsi="Open Sans" w:cs="Open Sans"/>
                <w:b w:val="0"/>
                <w:bCs w:val="0"/>
                <w:sz w:val="22"/>
                <w:szCs w:val="22"/>
                <w:lang w:val="es-ES"/>
              </w:rPr>
            </w:pPr>
            <w:r w:rsidRPr="000834D8">
              <w:rPr>
                <w:rFonts w:ascii="Open Sans" w:hAnsi="Open Sans" w:cs="Open Sans"/>
                <w:b w:val="0"/>
                <w:bCs w:val="0"/>
                <w:sz w:val="22"/>
                <w:szCs w:val="22"/>
                <w:lang w:val="es-ES"/>
              </w:rPr>
              <w:t>Provincia</w:t>
            </w:r>
          </w:p>
        </w:tc>
        <w:tc>
          <w:tcPr>
            <w:tcW w:w="2268" w:type="dxa"/>
            <w:vAlign w:val="center"/>
          </w:tcPr>
          <w:p w14:paraId="7576D916" w14:textId="77777777" w:rsidR="00D875A1" w:rsidRPr="000834D8" w:rsidRDefault="00D875A1" w:rsidP="00607C0B">
            <w:pP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0834D8">
              <w:rPr>
                <w:rFonts w:ascii="Open Sans" w:hAnsi="Open Sans" w:cs="Open Sans"/>
                <w:b w:val="0"/>
                <w:bCs w:val="0"/>
                <w:sz w:val="22"/>
                <w:szCs w:val="22"/>
                <w:lang w:val="es-ES"/>
              </w:rPr>
              <w:t>Municipio</w:t>
            </w:r>
          </w:p>
        </w:tc>
        <w:tc>
          <w:tcPr>
            <w:tcW w:w="1843" w:type="dxa"/>
          </w:tcPr>
          <w:p w14:paraId="6B730F0F" w14:textId="77777777" w:rsidR="00D875A1" w:rsidRPr="000834D8" w:rsidRDefault="00D875A1"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0834D8">
              <w:rPr>
                <w:rFonts w:ascii="Open Sans" w:hAnsi="Open Sans" w:cs="Open Sans"/>
                <w:b w:val="0"/>
                <w:bCs w:val="0"/>
                <w:sz w:val="22"/>
                <w:szCs w:val="22"/>
                <w:lang w:val="es-ES"/>
              </w:rPr>
              <w:t>Variación</w:t>
            </w:r>
          </w:p>
          <w:p w14:paraId="3815AC35" w14:textId="77777777" w:rsidR="00D875A1" w:rsidRPr="000834D8" w:rsidRDefault="00D875A1"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0834D8">
              <w:rPr>
                <w:rFonts w:ascii="Open Sans" w:hAnsi="Open Sans" w:cs="Open Sans"/>
                <w:b w:val="0"/>
                <w:bCs w:val="0"/>
                <w:sz w:val="22"/>
                <w:szCs w:val="22"/>
                <w:lang w:val="es-ES"/>
              </w:rPr>
              <w:t>mensual (%)</w:t>
            </w:r>
          </w:p>
        </w:tc>
        <w:tc>
          <w:tcPr>
            <w:tcW w:w="1842" w:type="dxa"/>
          </w:tcPr>
          <w:p w14:paraId="327C4D8A" w14:textId="77777777" w:rsidR="00D875A1" w:rsidRPr="000834D8" w:rsidRDefault="00D875A1"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0834D8">
              <w:rPr>
                <w:rFonts w:ascii="Open Sans" w:hAnsi="Open Sans" w:cs="Open Sans"/>
                <w:b w:val="0"/>
                <w:bCs w:val="0"/>
                <w:sz w:val="22"/>
                <w:szCs w:val="22"/>
                <w:lang w:val="es-ES"/>
              </w:rPr>
              <w:t>Variación interanual (%)</w:t>
            </w:r>
          </w:p>
        </w:tc>
        <w:tc>
          <w:tcPr>
            <w:tcW w:w="1645" w:type="dxa"/>
            <w:vAlign w:val="center"/>
          </w:tcPr>
          <w:p w14:paraId="65B76A44" w14:textId="7F39F566" w:rsidR="00D875A1" w:rsidRPr="000834D8" w:rsidRDefault="00940145"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Pr>
                <w:rFonts w:ascii="Open Sans" w:hAnsi="Open Sans" w:cs="Open Sans"/>
                <w:b w:val="0"/>
                <w:bCs w:val="0"/>
                <w:sz w:val="22"/>
                <w:szCs w:val="22"/>
                <w:lang w:val="es-ES"/>
              </w:rPr>
              <w:t>Oct.</w:t>
            </w:r>
            <w:r w:rsidR="00D875A1" w:rsidRPr="000834D8">
              <w:rPr>
                <w:rFonts w:ascii="Open Sans" w:hAnsi="Open Sans" w:cs="Open Sans"/>
                <w:b w:val="0"/>
                <w:bCs w:val="0"/>
                <w:sz w:val="22"/>
                <w:szCs w:val="22"/>
                <w:lang w:val="es-ES"/>
              </w:rPr>
              <w:t>2020</w:t>
            </w:r>
            <w:r w:rsidR="00D875A1" w:rsidRPr="000834D8">
              <w:rPr>
                <w:rFonts w:ascii="Open Sans" w:hAnsi="Open Sans" w:cs="Open Sans"/>
                <w:b w:val="0"/>
                <w:bCs w:val="0"/>
                <w:sz w:val="22"/>
                <w:szCs w:val="22"/>
                <w:lang w:val="es-ES"/>
              </w:rPr>
              <w:br/>
              <w:t>(€/m</w:t>
            </w:r>
            <w:r w:rsidR="00D875A1" w:rsidRPr="000834D8">
              <w:rPr>
                <w:rFonts w:ascii="Open Sans" w:hAnsi="Open Sans" w:cs="Open Sans"/>
                <w:b w:val="0"/>
                <w:bCs w:val="0"/>
                <w:sz w:val="22"/>
                <w:szCs w:val="22"/>
                <w:vertAlign w:val="superscript"/>
                <w:lang w:val="es-ES"/>
              </w:rPr>
              <w:t xml:space="preserve">2 </w:t>
            </w:r>
            <w:r w:rsidR="00D875A1" w:rsidRPr="000834D8">
              <w:rPr>
                <w:rFonts w:ascii="Open Sans" w:hAnsi="Open Sans" w:cs="Open Sans"/>
                <w:b w:val="0"/>
                <w:bCs w:val="0"/>
                <w:sz w:val="22"/>
                <w:szCs w:val="22"/>
                <w:lang w:val="es-ES"/>
              </w:rPr>
              <w:t xml:space="preserve">al mes) </w:t>
            </w:r>
          </w:p>
        </w:tc>
      </w:tr>
      <w:tr w:rsidR="00940145" w:rsidRPr="000834D8" w14:paraId="58BCED48"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3E905082" w14:textId="2F712E1C"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Madrid</w:t>
            </w:r>
          </w:p>
        </w:tc>
        <w:tc>
          <w:tcPr>
            <w:tcW w:w="2268" w:type="dxa"/>
            <w:vAlign w:val="bottom"/>
          </w:tcPr>
          <w:p w14:paraId="416D5B07" w14:textId="1575A5D2"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940145">
              <w:rPr>
                <w:rFonts w:ascii="Open Sans" w:hAnsi="Open Sans" w:cs="Open Sans"/>
                <w:sz w:val="22"/>
                <w:szCs w:val="22"/>
              </w:rPr>
              <w:t>Alcorcón</w:t>
            </w:r>
          </w:p>
        </w:tc>
        <w:tc>
          <w:tcPr>
            <w:tcW w:w="1843" w:type="dxa"/>
            <w:vAlign w:val="bottom"/>
          </w:tcPr>
          <w:p w14:paraId="1B49E02E" w14:textId="0C30E1C1"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4,1%</w:t>
            </w:r>
          </w:p>
        </w:tc>
        <w:tc>
          <w:tcPr>
            <w:tcW w:w="1842" w:type="dxa"/>
            <w:vAlign w:val="bottom"/>
          </w:tcPr>
          <w:p w14:paraId="7C2A06DF" w14:textId="6692A628"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w:t>
            </w:r>
          </w:p>
        </w:tc>
        <w:tc>
          <w:tcPr>
            <w:tcW w:w="1645" w:type="dxa"/>
            <w:vAlign w:val="bottom"/>
          </w:tcPr>
          <w:p w14:paraId="735681C2" w14:textId="2CE4FBA8"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10,42 €</w:t>
            </w:r>
          </w:p>
        </w:tc>
      </w:tr>
      <w:tr w:rsidR="00940145" w:rsidRPr="000834D8" w14:paraId="5A7E7817"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2E7BC18" w14:textId="5A3FC06C"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Asturias</w:t>
            </w:r>
          </w:p>
        </w:tc>
        <w:tc>
          <w:tcPr>
            <w:tcW w:w="2268" w:type="dxa"/>
            <w:vAlign w:val="bottom"/>
          </w:tcPr>
          <w:p w14:paraId="6F27D5DC" w14:textId="72CAD809"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Avilés</w:t>
            </w:r>
          </w:p>
        </w:tc>
        <w:tc>
          <w:tcPr>
            <w:tcW w:w="1843" w:type="dxa"/>
            <w:vAlign w:val="bottom"/>
          </w:tcPr>
          <w:p w14:paraId="66443D66" w14:textId="56BA6B1F"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2,6%</w:t>
            </w:r>
          </w:p>
        </w:tc>
        <w:tc>
          <w:tcPr>
            <w:tcW w:w="1842" w:type="dxa"/>
            <w:vAlign w:val="bottom"/>
          </w:tcPr>
          <w:p w14:paraId="62F46238" w14:textId="17C55B91"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-1,8%</w:t>
            </w:r>
          </w:p>
        </w:tc>
        <w:tc>
          <w:tcPr>
            <w:tcW w:w="1645" w:type="dxa"/>
            <w:vAlign w:val="bottom"/>
          </w:tcPr>
          <w:p w14:paraId="5468FB53" w14:textId="2A31F4C7"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6,43 €</w:t>
            </w:r>
          </w:p>
        </w:tc>
      </w:tr>
      <w:tr w:rsidR="00940145" w:rsidRPr="000834D8" w14:paraId="43783732"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40D1FB7F" w14:textId="180B05F4"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La Rioja</w:t>
            </w:r>
          </w:p>
        </w:tc>
        <w:tc>
          <w:tcPr>
            <w:tcW w:w="2268" w:type="dxa"/>
            <w:vAlign w:val="bottom"/>
          </w:tcPr>
          <w:p w14:paraId="52AA1B9D" w14:textId="0B07EA55"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Logroño</w:t>
            </w:r>
          </w:p>
        </w:tc>
        <w:tc>
          <w:tcPr>
            <w:tcW w:w="1843" w:type="dxa"/>
            <w:vAlign w:val="bottom"/>
          </w:tcPr>
          <w:p w14:paraId="62F24620" w14:textId="5A11248A"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2,5%</w:t>
            </w:r>
          </w:p>
        </w:tc>
        <w:tc>
          <w:tcPr>
            <w:tcW w:w="1842" w:type="dxa"/>
            <w:vAlign w:val="bottom"/>
          </w:tcPr>
          <w:p w14:paraId="03792FA4" w14:textId="2E814DF4"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6,5%</w:t>
            </w:r>
          </w:p>
        </w:tc>
        <w:tc>
          <w:tcPr>
            <w:tcW w:w="1645" w:type="dxa"/>
            <w:vAlign w:val="bottom"/>
          </w:tcPr>
          <w:p w14:paraId="5B255D46" w14:textId="5C070A93"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7,37 €</w:t>
            </w:r>
          </w:p>
        </w:tc>
      </w:tr>
      <w:tr w:rsidR="00940145" w:rsidRPr="000834D8" w14:paraId="3EB93E73"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5EA6129" w14:textId="50CE6048"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Girona</w:t>
            </w:r>
          </w:p>
        </w:tc>
        <w:tc>
          <w:tcPr>
            <w:tcW w:w="2268" w:type="dxa"/>
            <w:vAlign w:val="bottom"/>
          </w:tcPr>
          <w:p w14:paraId="3B9E6698" w14:textId="657CCCF1"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Girona Capital</w:t>
            </w:r>
          </w:p>
        </w:tc>
        <w:tc>
          <w:tcPr>
            <w:tcW w:w="1843" w:type="dxa"/>
            <w:vAlign w:val="bottom"/>
          </w:tcPr>
          <w:p w14:paraId="46D2A312" w14:textId="3CDA069E"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2,3%</w:t>
            </w:r>
          </w:p>
        </w:tc>
        <w:tc>
          <w:tcPr>
            <w:tcW w:w="1842" w:type="dxa"/>
            <w:vAlign w:val="bottom"/>
          </w:tcPr>
          <w:p w14:paraId="19C6B8D1" w14:textId="19134D14"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-4,7%</w:t>
            </w:r>
          </w:p>
        </w:tc>
        <w:tc>
          <w:tcPr>
            <w:tcW w:w="1645" w:type="dxa"/>
            <w:vAlign w:val="bottom"/>
          </w:tcPr>
          <w:p w14:paraId="77ACE424" w14:textId="124F4250"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9,72 €</w:t>
            </w:r>
          </w:p>
        </w:tc>
      </w:tr>
      <w:tr w:rsidR="00940145" w:rsidRPr="000834D8" w14:paraId="1973EAF0"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639DA7E7" w14:textId="4A608460"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Ávila</w:t>
            </w:r>
          </w:p>
        </w:tc>
        <w:tc>
          <w:tcPr>
            <w:tcW w:w="2268" w:type="dxa"/>
            <w:vAlign w:val="bottom"/>
          </w:tcPr>
          <w:p w14:paraId="323F38DD" w14:textId="1FE64889"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Ávila Capital</w:t>
            </w:r>
          </w:p>
        </w:tc>
        <w:tc>
          <w:tcPr>
            <w:tcW w:w="1843" w:type="dxa"/>
            <w:vAlign w:val="bottom"/>
          </w:tcPr>
          <w:p w14:paraId="3E7537FF" w14:textId="29F58AEB"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2,1%</w:t>
            </w:r>
          </w:p>
        </w:tc>
        <w:tc>
          <w:tcPr>
            <w:tcW w:w="1842" w:type="dxa"/>
            <w:vAlign w:val="bottom"/>
          </w:tcPr>
          <w:p w14:paraId="31F216F1" w14:textId="49699692"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5,4%</w:t>
            </w:r>
          </w:p>
        </w:tc>
        <w:tc>
          <w:tcPr>
            <w:tcW w:w="1645" w:type="dxa"/>
            <w:vAlign w:val="bottom"/>
          </w:tcPr>
          <w:p w14:paraId="2F66E535" w14:textId="4161A875"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6,23 €</w:t>
            </w:r>
          </w:p>
        </w:tc>
      </w:tr>
      <w:tr w:rsidR="00940145" w:rsidRPr="000834D8" w14:paraId="63E2434B"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F08B402" w14:textId="3116FD8D"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Madrid</w:t>
            </w:r>
          </w:p>
        </w:tc>
        <w:tc>
          <w:tcPr>
            <w:tcW w:w="2268" w:type="dxa"/>
            <w:vAlign w:val="bottom"/>
          </w:tcPr>
          <w:p w14:paraId="5BEE7AC1" w14:textId="4953C1EA"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Móstoles</w:t>
            </w:r>
          </w:p>
        </w:tc>
        <w:tc>
          <w:tcPr>
            <w:tcW w:w="1843" w:type="dxa"/>
            <w:vAlign w:val="bottom"/>
          </w:tcPr>
          <w:p w14:paraId="66E829A2" w14:textId="1ED0AFA3"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1,9%</w:t>
            </w:r>
          </w:p>
        </w:tc>
        <w:tc>
          <w:tcPr>
            <w:tcW w:w="1842" w:type="dxa"/>
            <w:vAlign w:val="bottom"/>
          </w:tcPr>
          <w:p w14:paraId="73921ECA" w14:textId="5310A9B1"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9C0006"/>
                <w:sz w:val="22"/>
                <w:szCs w:val="22"/>
              </w:rPr>
              <w:t>-1,4%</w:t>
            </w:r>
          </w:p>
        </w:tc>
        <w:tc>
          <w:tcPr>
            <w:tcW w:w="1645" w:type="dxa"/>
            <w:vAlign w:val="bottom"/>
          </w:tcPr>
          <w:p w14:paraId="47B41DA6" w14:textId="3E02C80A"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9,60 €</w:t>
            </w:r>
          </w:p>
        </w:tc>
      </w:tr>
      <w:tr w:rsidR="00940145" w:rsidRPr="000834D8" w14:paraId="096EE144"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A3C73DA" w14:textId="7FCA5EEA"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Madrid</w:t>
            </w:r>
          </w:p>
        </w:tc>
        <w:tc>
          <w:tcPr>
            <w:tcW w:w="2268" w:type="dxa"/>
            <w:vAlign w:val="bottom"/>
          </w:tcPr>
          <w:p w14:paraId="7C3569B4" w14:textId="7C6F2EF7"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sidRPr="00940145">
              <w:rPr>
                <w:rFonts w:ascii="Open Sans" w:hAnsi="Open Sans" w:cs="Open Sans"/>
                <w:sz w:val="22"/>
                <w:szCs w:val="22"/>
              </w:rPr>
              <w:t>Pinto</w:t>
            </w:r>
          </w:p>
        </w:tc>
        <w:tc>
          <w:tcPr>
            <w:tcW w:w="1843" w:type="dxa"/>
            <w:vAlign w:val="bottom"/>
          </w:tcPr>
          <w:p w14:paraId="282513CE" w14:textId="6AED1998"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1,8%</w:t>
            </w:r>
          </w:p>
        </w:tc>
        <w:tc>
          <w:tcPr>
            <w:tcW w:w="1842" w:type="dxa"/>
            <w:vAlign w:val="bottom"/>
          </w:tcPr>
          <w:p w14:paraId="31759197" w14:textId="22FD2D44"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 </w:t>
            </w:r>
          </w:p>
        </w:tc>
        <w:tc>
          <w:tcPr>
            <w:tcW w:w="1645" w:type="dxa"/>
            <w:vAlign w:val="bottom"/>
          </w:tcPr>
          <w:p w14:paraId="065F19D6" w14:textId="0451686E"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10,11 €</w:t>
            </w:r>
          </w:p>
        </w:tc>
      </w:tr>
      <w:tr w:rsidR="00940145" w:rsidRPr="000834D8" w14:paraId="4B3D207A"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7DC49BDB" w14:textId="02EF38EC"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Madrid</w:t>
            </w:r>
          </w:p>
        </w:tc>
        <w:tc>
          <w:tcPr>
            <w:tcW w:w="2268" w:type="dxa"/>
            <w:vAlign w:val="bottom"/>
          </w:tcPr>
          <w:p w14:paraId="7A9C1C90" w14:textId="5136230A"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sidRPr="00940145">
              <w:rPr>
                <w:rFonts w:ascii="Open Sans" w:hAnsi="Open Sans" w:cs="Open Sans"/>
                <w:sz w:val="22"/>
                <w:szCs w:val="22"/>
              </w:rPr>
              <w:t>Pozuelo de Alarcón</w:t>
            </w:r>
          </w:p>
        </w:tc>
        <w:tc>
          <w:tcPr>
            <w:tcW w:w="1843" w:type="dxa"/>
            <w:vAlign w:val="bottom"/>
          </w:tcPr>
          <w:p w14:paraId="5200B1D4" w14:textId="41F94049"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1,7%</w:t>
            </w:r>
          </w:p>
        </w:tc>
        <w:tc>
          <w:tcPr>
            <w:tcW w:w="1842" w:type="dxa"/>
            <w:vAlign w:val="bottom"/>
          </w:tcPr>
          <w:p w14:paraId="7FB2F30B" w14:textId="0AA2E920"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-1,4%</w:t>
            </w:r>
          </w:p>
        </w:tc>
        <w:tc>
          <w:tcPr>
            <w:tcW w:w="1645" w:type="dxa"/>
            <w:vAlign w:val="bottom"/>
          </w:tcPr>
          <w:p w14:paraId="0F22F5D2" w14:textId="5DFA25A7"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12,33 €</w:t>
            </w:r>
          </w:p>
        </w:tc>
      </w:tr>
      <w:tr w:rsidR="00940145" w:rsidRPr="000834D8" w14:paraId="10258A7E" w14:textId="77777777" w:rsidTr="00927A7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313C217" w14:textId="6A483397"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Albacete</w:t>
            </w:r>
          </w:p>
        </w:tc>
        <w:tc>
          <w:tcPr>
            <w:tcW w:w="2268" w:type="dxa"/>
            <w:vAlign w:val="bottom"/>
          </w:tcPr>
          <w:p w14:paraId="280990B3" w14:textId="0C54EF1C" w:rsidR="00940145" w:rsidRPr="00940145" w:rsidRDefault="00940145" w:rsidP="00940145">
            <w:pP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sidRPr="00940145">
              <w:rPr>
                <w:rFonts w:ascii="Open Sans" w:hAnsi="Open Sans" w:cs="Open Sans"/>
                <w:sz w:val="22"/>
                <w:szCs w:val="22"/>
              </w:rPr>
              <w:t>Albacete Capital</w:t>
            </w:r>
          </w:p>
        </w:tc>
        <w:tc>
          <w:tcPr>
            <w:tcW w:w="1843" w:type="dxa"/>
            <w:vAlign w:val="bottom"/>
          </w:tcPr>
          <w:p w14:paraId="1200DA2E" w14:textId="00142C8B"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1,6%</w:t>
            </w:r>
          </w:p>
        </w:tc>
        <w:tc>
          <w:tcPr>
            <w:tcW w:w="1842" w:type="dxa"/>
            <w:vAlign w:val="bottom"/>
          </w:tcPr>
          <w:p w14:paraId="45BED533" w14:textId="39B6CDE1"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9,0%</w:t>
            </w:r>
          </w:p>
        </w:tc>
        <w:tc>
          <w:tcPr>
            <w:tcW w:w="1645" w:type="dxa"/>
            <w:vAlign w:val="bottom"/>
          </w:tcPr>
          <w:p w14:paraId="4505F219" w14:textId="2BDD173E" w:rsidR="00940145" w:rsidRPr="000834D8" w:rsidRDefault="00940145" w:rsidP="00940145">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6,93 €</w:t>
            </w:r>
          </w:p>
        </w:tc>
      </w:tr>
      <w:tr w:rsidR="00940145" w:rsidRPr="000834D8" w14:paraId="5F602D1B" w14:textId="77777777" w:rsidTr="00927A70">
        <w:trPr>
          <w:trHeight w:val="245"/>
        </w:trPr>
        <w:tc>
          <w:tcPr>
            <w:cnfStyle w:val="001000000000" w:firstRow="0" w:lastRow="0" w:firstColumn="1" w:lastColumn="0" w:oddVBand="0" w:evenVBand="0" w:oddHBand="0" w:evenHBand="0" w:firstRowFirstColumn="0" w:firstRowLastColumn="0" w:lastRowFirstColumn="0" w:lastRowLastColumn="0"/>
            <w:tcW w:w="1418" w:type="dxa"/>
            <w:vAlign w:val="bottom"/>
          </w:tcPr>
          <w:p w14:paraId="0B3EBC59" w14:textId="27D9796D" w:rsidR="00940145" w:rsidRPr="00940145" w:rsidRDefault="00940145" w:rsidP="00940145">
            <w:pPr>
              <w:rPr>
                <w:rFonts w:ascii="Open Sans" w:hAnsi="Open Sans" w:cs="Open Sans"/>
                <w:b w:val="0"/>
                <w:bCs w:val="0"/>
                <w:sz w:val="22"/>
                <w:szCs w:val="22"/>
              </w:rPr>
            </w:pPr>
            <w:r w:rsidRPr="00940145">
              <w:rPr>
                <w:rFonts w:ascii="Open Sans" w:hAnsi="Open Sans" w:cs="Open Sans"/>
                <w:b w:val="0"/>
                <w:bCs w:val="0"/>
                <w:sz w:val="22"/>
                <w:szCs w:val="22"/>
              </w:rPr>
              <w:t>Ourense</w:t>
            </w:r>
          </w:p>
        </w:tc>
        <w:tc>
          <w:tcPr>
            <w:tcW w:w="2268" w:type="dxa"/>
            <w:vAlign w:val="bottom"/>
          </w:tcPr>
          <w:p w14:paraId="00CC5B22" w14:textId="6465A0CB" w:rsidR="00940145" w:rsidRPr="00940145" w:rsidRDefault="00940145" w:rsidP="00940145">
            <w:pP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sidRPr="00940145">
              <w:rPr>
                <w:rFonts w:ascii="Open Sans" w:hAnsi="Open Sans" w:cs="Open Sans"/>
                <w:sz w:val="22"/>
                <w:szCs w:val="22"/>
              </w:rPr>
              <w:t>Ourense Capital</w:t>
            </w:r>
          </w:p>
        </w:tc>
        <w:tc>
          <w:tcPr>
            <w:tcW w:w="1843" w:type="dxa"/>
            <w:vAlign w:val="bottom"/>
          </w:tcPr>
          <w:p w14:paraId="3AD0CEB1" w14:textId="1D70C192"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1,5%</w:t>
            </w:r>
          </w:p>
        </w:tc>
        <w:tc>
          <w:tcPr>
            <w:tcW w:w="1842" w:type="dxa"/>
            <w:vAlign w:val="bottom"/>
          </w:tcPr>
          <w:p w14:paraId="77961DA3" w14:textId="7439C049"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11,2%</w:t>
            </w:r>
          </w:p>
        </w:tc>
        <w:tc>
          <w:tcPr>
            <w:tcW w:w="1645" w:type="dxa"/>
            <w:vAlign w:val="bottom"/>
          </w:tcPr>
          <w:p w14:paraId="54FBEA81" w14:textId="0A75597C" w:rsidR="00940145" w:rsidRPr="000834D8" w:rsidRDefault="00940145" w:rsidP="00940145">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sz w:val="22"/>
                <w:szCs w:val="22"/>
              </w:rPr>
              <w:t>6,04 €</w:t>
            </w:r>
          </w:p>
        </w:tc>
      </w:tr>
    </w:tbl>
    <w:p w14:paraId="619DE6DC" w14:textId="77777777" w:rsidR="000A772E" w:rsidRDefault="000A772E" w:rsidP="00700D43">
      <w:pPr>
        <w:pStyle w:val="NormalWeb"/>
        <w:spacing w:after="225" w:line="276" w:lineRule="auto"/>
        <w:ind w:right="-574"/>
        <w:jc w:val="both"/>
        <w:rPr>
          <w:rFonts w:ascii="Open Sans" w:hAnsi="Open Sans" w:cs="Open Sans"/>
          <w:color w:val="000000"/>
        </w:rPr>
      </w:pPr>
    </w:p>
    <w:p w14:paraId="1D44D7EE" w14:textId="639EE401" w:rsidR="00E76242" w:rsidRDefault="006D5798" w:rsidP="00700D43">
      <w:pPr>
        <w:pStyle w:val="NormalWeb"/>
        <w:spacing w:after="225" w:line="276" w:lineRule="auto"/>
        <w:ind w:right="-574"/>
        <w:jc w:val="both"/>
        <w:rPr>
          <w:rFonts w:ascii="Open Sans" w:hAnsi="Open Sans" w:cs="Open Sans"/>
          <w:color w:val="000000"/>
        </w:rPr>
      </w:pPr>
      <w:r>
        <w:rPr>
          <w:rFonts w:ascii="Open Sans" w:hAnsi="Open Sans" w:cs="Open Sans"/>
          <w:color w:val="000000"/>
        </w:rPr>
        <w:t xml:space="preserve">En cuanto al precio por metro cuadrado en </w:t>
      </w:r>
      <w:r w:rsidR="00036F11">
        <w:rPr>
          <w:rFonts w:ascii="Open Sans" w:hAnsi="Open Sans" w:cs="Open Sans"/>
          <w:color w:val="000000"/>
        </w:rPr>
        <w:t>octubre</w:t>
      </w:r>
      <w:r>
        <w:rPr>
          <w:rFonts w:ascii="Open Sans" w:hAnsi="Open Sans" w:cs="Open Sans"/>
          <w:color w:val="000000"/>
        </w:rPr>
        <w:t xml:space="preserve">, vemos </w:t>
      </w:r>
      <w:r w:rsidR="000834D8">
        <w:rPr>
          <w:rFonts w:ascii="Open Sans" w:hAnsi="Open Sans" w:cs="Open Sans"/>
          <w:color w:val="000000"/>
        </w:rPr>
        <w:t>3</w:t>
      </w:r>
      <w:r w:rsidR="00036F11">
        <w:rPr>
          <w:rFonts w:ascii="Open Sans" w:hAnsi="Open Sans" w:cs="Open Sans"/>
          <w:color w:val="000000"/>
        </w:rPr>
        <w:t>4</w:t>
      </w:r>
      <w:r>
        <w:rPr>
          <w:rFonts w:ascii="Open Sans" w:hAnsi="Open Sans" w:cs="Open Sans"/>
          <w:color w:val="000000"/>
        </w:rPr>
        <w:t xml:space="preserve"> municipios sobrepasan los </w:t>
      </w:r>
      <w:r w:rsidR="002E79CF">
        <w:rPr>
          <w:rFonts w:ascii="Open Sans" w:hAnsi="Open Sans" w:cs="Open Sans"/>
          <w:color w:val="000000"/>
        </w:rPr>
        <w:t>10</w:t>
      </w:r>
      <w:r>
        <w:rPr>
          <w:rFonts w:ascii="Open Sans" w:hAnsi="Open Sans" w:cs="Open Sans"/>
          <w:color w:val="000000"/>
        </w:rPr>
        <w:t xml:space="preserve">,00 </w:t>
      </w:r>
      <w:r w:rsidRPr="006D0120">
        <w:rPr>
          <w:rFonts w:ascii="Open Sans" w:hAnsi="Open Sans" w:cs="Open Sans"/>
          <w:color w:val="000000"/>
        </w:rPr>
        <w:t>€/m</w:t>
      </w:r>
      <w:r w:rsidRPr="006D0120">
        <w:rPr>
          <w:rFonts w:ascii="Open Sans" w:hAnsi="Open Sans" w:cs="Open Sans"/>
          <w:color w:val="000000"/>
          <w:vertAlign w:val="superscript"/>
        </w:rPr>
        <w:t>2</w:t>
      </w:r>
      <w:r>
        <w:rPr>
          <w:rFonts w:ascii="Open Sans" w:hAnsi="Open Sans" w:cs="Open Sans"/>
          <w:color w:val="000000"/>
          <w:vertAlign w:val="superscript"/>
        </w:rPr>
        <w:t xml:space="preserve"> </w:t>
      </w:r>
      <w:r w:rsidRPr="00A1719F">
        <w:rPr>
          <w:rFonts w:ascii="Open Sans" w:hAnsi="Open Sans" w:cs="Open Sans"/>
          <w:color w:val="000000"/>
        </w:rPr>
        <w:t>al mes</w:t>
      </w:r>
      <w:r>
        <w:rPr>
          <w:rFonts w:ascii="Open Sans" w:hAnsi="Open Sans" w:cs="Open Sans"/>
          <w:color w:val="000000"/>
        </w:rPr>
        <w:t xml:space="preserve"> y </w:t>
      </w:r>
      <w:r w:rsidR="00DB3B1F">
        <w:rPr>
          <w:rFonts w:ascii="Open Sans" w:hAnsi="Open Sans" w:cs="Open Sans"/>
          <w:color w:val="000000"/>
        </w:rPr>
        <w:t xml:space="preserve">los diez con mayor precio </w:t>
      </w:r>
      <w:r>
        <w:rPr>
          <w:rFonts w:ascii="Open Sans" w:hAnsi="Open Sans" w:cs="Open Sans"/>
          <w:color w:val="000000"/>
        </w:rPr>
        <w:t xml:space="preserve">son: </w:t>
      </w:r>
      <w:r w:rsidR="00036F11" w:rsidRPr="00036F11">
        <w:rPr>
          <w:rFonts w:ascii="Open Sans" w:hAnsi="Open Sans" w:cs="Open Sans"/>
          <w:color w:val="000000"/>
        </w:rPr>
        <w:t xml:space="preserve">Donostia - San Sebastián </w:t>
      </w:r>
      <w:r w:rsidR="00036F11">
        <w:rPr>
          <w:rFonts w:ascii="Open Sans" w:hAnsi="Open Sans" w:cs="Open Sans"/>
          <w:color w:val="000000"/>
        </w:rPr>
        <w:t xml:space="preserve"> (16,33 </w:t>
      </w:r>
      <w:r w:rsidR="00036F11" w:rsidRPr="006D0120">
        <w:rPr>
          <w:rFonts w:ascii="Open Sans" w:hAnsi="Open Sans" w:cs="Open Sans"/>
          <w:color w:val="000000"/>
        </w:rPr>
        <w:t>€/m</w:t>
      </w:r>
      <w:r w:rsidR="00036F11" w:rsidRPr="006D0120">
        <w:rPr>
          <w:rFonts w:ascii="Open Sans" w:hAnsi="Open Sans" w:cs="Open Sans"/>
          <w:color w:val="000000"/>
          <w:vertAlign w:val="superscript"/>
        </w:rPr>
        <w:t>2</w:t>
      </w:r>
      <w:r w:rsidR="00036F11">
        <w:rPr>
          <w:rFonts w:ascii="Open Sans" w:hAnsi="Open Sans" w:cs="Open Sans"/>
          <w:color w:val="000000"/>
          <w:vertAlign w:val="superscript"/>
        </w:rPr>
        <w:t xml:space="preserve"> </w:t>
      </w:r>
      <w:r w:rsidR="00036F11" w:rsidRPr="00A1719F">
        <w:rPr>
          <w:rFonts w:ascii="Open Sans" w:hAnsi="Open Sans" w:cs="Open Sans"/>
          <w:color w:val="000000"/>
        </w:rPr>
        <w:t>al mes</w:t>
      </w:r>
      <w:r w:rsidR="00036F11">
        <w:rPr>
          <w:rFonts w:ascii="Open Sans" w:hAnsi="Open Sans" w:cs="Open Sans"/>
          <w:color w:val="000000"/>
        </w:rPr>
        <w:t xml:space="preserve">), </w:t>
      </w:r>
      <w:r w:rsidR="00076893" w:rsidRPr="00076893">
        <w:rPr>
          <w:rFonts w:ascii="Open Sans" w:hAnsi="Open Sans" w:cs="Open Sans"/>
          <w:color w:val="000000"/>
        </w:rPr>
        <w:t>Eivissa</w:t>
      </w:r>
      <w:r w:rsidR="00076893">
        <w:rPr>
          <w:rFonts w:ascii="Open Sans" w:hAnsi="Open Sans" w:cs="Open Sans"/>
          <w:color w:val="000000"/>
        </w:rPr>
        <w:t xml:space="preserve"> (</w:t>
      </w:r>
      <w:r w:rsidR="00036F11">
        <w:rPr>
          <w:rFonts w:ascii="Open Sans" w:hAnsi="Open Sans" w:cs="Open Sans"/>
          <w:color w:val="000000"/>
        </w:rPr>
        <w:t>16,25</w:t>
      </w:r>
      <w:r w:rsidR="00076893">
        <w:rPr>
          <w:rFonts w:ascii="Open Sans" w:hAnsi="Open Sans" w:cs="Open Sans"/>
          <w:color w:val="000000"/>
        </w:rPr>
        <w:t xml:space="preserve"> </w:t>
      </w:r>
      <w:r w:rsidR="00076893" w:rsidRPr="006D0120">
        <w:rPr>
          <w:rFonts w:ascii="Open Sans" w:hAnsi="Open Sans" w:cs="Open Sans"/>
          <w:color w:val="000000"/>
        </w:rPr>
        <w:t>€/m</w:t>
      </w:r>
      <w:r w:rsidR="00076893" w:rsidRPr="006D0120">
        <w:rPr>
          <w:rFonts w:ascii="Open Sans" w:hAnsi="Open Sans" w:cs="Open Sans"/>
          <w:color w:val="000000"/>
          <w:vertAlign w:val="superscript"/>
        </w:rPr>
        <w:t>2</w:t>
      </w:r>
      <w:r w:rsidR="00076893">
        <w:rPr>
          <w:rFonts w:ascii="Open Sans" w:hAnsi="Open Sans" w:cs="Open Sans"/>
          <w:color w:val="000000"/>
          <w:vertAlign w:val="superscript"/>
        </w:rPr>
        <w:t xml:space="preserve"> </w:t>
      </w:r>
      <w:r w:rsidR="00076893" w:rsidRPr="00A1719F">
        <w:rPr>
          <w:rFonts w:ascii="Open Sans" w:hAnsi="Open Sans" w:cs="Open Sans"/>
          <w:color w:val="000000"/>
        </w:rPr>
        <w:t>al mes</w:t>
      </w:r>
      <w:r w:rsidR="00076893">
        <w:rPr>
          <w:rFonts w:ascii="Open Sans" w:hAnsi="Open Sans" w:cs="Open Sans"/>
          <w:color w:val="000000"/>
        </w:rPr>
        <w:t>),</w:t>
      </w:r>
      <w:r w:rsidR="00036F11">
        <w:rPr>
          <w:rFonts w:ascii="Open Sans" w:hAnsi="Open Sans" w:cs="Open Sans"/>
          <w:color w:val="000000"/>
        </w:rPr>
        <w:t xml:space="preserve"> </w:t>
      </w:r>
      <w:r w:rsidR="00555E5A" w:rsidRPr="00DB3B1F">
        <w:rPr>
          <w:rFonts w:ascii="Open Sans" w:hAnsi="Open Sans" w:cs="Open Sans"/>
          <w:color w:val="000000"/>
        </w:rPr>
        <w:t>Barcelona Capital</w:t>
      </w:r>
      <w:r w:rsidR="00555E5A">
        <w:rPr>
          <w:rFonts w:ascii="Open Sans" w:hAnsi="Open Sans" w:cs="Open Sans"/>
          <w:color w:val="000000"/>
        </w:rPr>
        <w:t xml:space="preserve"> </w:t>
      </w:r>
      <w:r w:rsidR="00CB0803">
        <w:rPr>
          <w:rFonts w:ascii="Open Sans" w:hAnsi="Open Sans" w:cs="Open Sans"/>
          <w:color w:val="000000"/>
        </w:rPr>
        <w:t>(</w:t>
      </w:r>
      <w:r w:rsidR="00194B3B">
        <w:rPr>
          <w:rFonts w:ascii="Open Sans" w:hAnsi="Open Sans" w:cs="Open Sans"/>
          <w:color w:val="000000"/>
        </w:rPr>
        <w:t>16,</w:t>
      </w:r>
      <w:r w:rsidR="00036F11">
        <w:rPr>
          <w:rFonts w:ascii="Open Sans" w:hAnsi="Open Sans" w:cs="Open Sans"/>
          <w:color w:val="000000"/>
        </w:rPr>
        <w:t>07</w:t>
      </w:r>
      <w:r w:rsidR="00E76242">
        <w:rPr>
          <w:rFonts w:ascii="Open Sans" w:hAnsi="Open Sans" w:cs="Open Sans"/>
          <w:color w:val="000000"/>
        </w:rPr>
        <w:t xml:space="preserve"> </w:t>
      </w:r>
      <w:r w:rsidR="00CB0803" w:rsidRPr="006D0120">
        <w:rPr>
          <w:rFonts w:ascii="Open Sans" w:hAnsi="Open Sans" w:cs="Open Sans"/>
          <w:color w:val="000000"/>
        </w:rPr>
        <w:t>€/m</w:t>
      </w:r>
      <w:r w:rsidR="00CB0803" w:rsidRPr="006D0120">
        <w:rPr>
          <w:rFonts w:ascii="Open Sans" w:hAnsi="Open Sans" w:cs="Open Sans"/>
          <w:color w:val="000000"/>
          <w:vertAlign w:val="superscript"/>
        </w:rPr>
        <w:t>2</w:t>
      </w:r>
      <w:r w:rsidR="00CB0803">
        <w:rPr>
          <w:rFonts w:ascii="Open Sans" w:hAnsi="Open Sans" w:cs="Open Sans"/>
          <w:color w:val="000000"/>
          <w:vertAlign w:val="superscript"/>
        </w:rPr>
        <w:t xml:space="preserve"> </w:t>
      </w:r>
      <w:r w:rsidR="00CB0803" w:rsidRPr="00A1719F">
        <w:rPr>
          <w:rFonts w:ascii="Open Sans" w:hAnsi="Open Sans" w:cs="Open Sans"/>
          <w:color w:val="000000"/>
        </w:rPr>
        <w:t>al mes</w:t>
      </w:r>
      <w:r w:rsidR="00CB0803">
        <w:rPr>
          <w:rFonts w:ascii="Open Sans" w:hAnsi="Open Sans" w:cs="Open Sans"/>
          <w:color w:val="000000"/>
        </w:rPr>
        <w:t xml:space="preserve">), </w:t>
      </w:r>
      <w:r w:rsidR="00CB0803" w:rsidRPr="00DB3B1F">
        <w:rPr>
          <w:rFonts w:ascii="Open Sans" w:hAnsi="Open Sans" w:cs="Open Sans"/>
          <w:color w:val="000000"/>
        </w:rPr>
        <w:t>Madrid Capital</w:t>
      </w:r>
      <w:r w:rsidR="00CB0803">
        <w:rPr>
          <w:rFonts w:ascii="Open Sans" w:hAnsi="Open Sans" w:cs="Open Sans"/>
          <w:color w:val="000000"/>
        </w:rPr>
        <w:t xml:space="preserve"> </w:t>
      </w:r>
      <w:r w:rsidR="00DB3B1F">
        <w:rPr>
          <w:rFonts w:ascii="Open Sans" w:hAnsi="Open Sans" w:cs="Open Sans"/>
          <w:color w:val="000000"/>
        </w:rPr>
        <w:t>(</w:t>
      </w:r>
      <w:r w:rsidR="00036F11">
        <w:rPr>
          <w:rFonts w:ascii="Open Sans" w:hAnsi="Open Sans" w:cs="Open Sans"/>
          <w:color w:val="000000"/>
        </w:rPr>
        <w:t>15,57</w:t>
      </w:r>
      <w:r w:rsidR="00CB0803">
        <w:rPr>
          <w:rFonts w:ascii="Open Sans" w:hAnsi="Open Sans" w:cs="Open Sans"/>
          <w:color w:val="000000"/>
        </w:rPr>
        <w:t xml:space="preserve"> </w:t>
      </w:r>
      <w:r w:rsidR="00DB3B1F" w:rsidRPr="006D0120">
        <w:rPr>
          <w:rFonts w:ascii="Open Sans" w:hAnsi="Open Sans" w:cs="Open Sans"/>
          <w:color w:val="000000"/>
        </w:rPr>
        <w:t>€/m</w:t>
      </w:r>
      <w:r w:rsidR="00DB3B1F" w:rsidRPr="006D0120">
        <w:rPr>
          <w:rFonts w:ascii="Open Sans" w:hAnsi="Open Sans" w:cs="Open Sans"/>
          <w:color w:val="000000"/>
          <w:vertAlign w:val="superscript"/>
        </w:rPr>
        <w:t>2</w:t>
      </w:r>
      <w:r w:rsidR="00DB3B1F">
        <w:rPr>
          <w:rFonts w:ascii="Open Sans" w:hAnsi="Open Sans" w:cs="Open Sans"/>
          <w:color w:val="000000"/>
          <w:vertAlign w:val="superscript"/>
        </w:rPr>
        <w:t xml:space="preserve"> </w:t>
      </w:r>
      <w:r w:rsidR="00DB3B1F" w:rsidRPr="00A1719F">
        <w:rPr>
          <w:rFonts w:ascii="Open Sans" w:hAnsi="Open Sans" w:cs="Open Sans"/>
          <w:color w:val="000000"/>
        </w:rPr>
        <w:t>al mes</w:t>
      </w:r>
      <w:r w:rsidR="00DB3B1F">
        <w:rPr>
          <w:rFonts w:ascii="Open Sans" w:hAnsi="Open Sans" w:cs="Open Sans"/>
          <w:color w:val="000000"/>
        </w:rPr>
        <w:t>),</w:t>
      </w:r>
      <w:r w:rsidR="00036F11">
        <w:rPr>
          <w:rFonts w:ascii="Open Sans" w:hAnsi="Open Sans" w:cs="Open Sans"/>
          <w:color w:val="000000"/>
        </w:rPr>
        <w:t xml:space="preserve"> Gavà</w:t>
      </w:r>
      <w:r w:rsidR="00DB3B1F">
        <w:rPr>
          <w:rFonts w:ascii="Open Sans" w:hAnsi="Open Sans" w:cs="Open Sans"/>
          <w:color w:val="000000"/>
        </w:rPr>
        <w:t xml:space="preserve"> </w:t>
      </w:r>
      <w:r w:rsidR="00036F11">
        <w:rPr>
          <w:rFonts w:ascii="Open Sans" w:hAnsi="Open Sans" w:cs="Open Sans"/>
          <w:color w:val="000000"/>
        </w:rPr>
        <w:t xml:space="preserve">(15,49 </w:t>
      </w:r>
      <w:r w:rsidR="00036F11" w:rsidRPr="006D0120">
        <w:rPr>
          <w:rFonts w:ascii="Open Sans" w:hAnsi="Open Sans" w:cs="Open Sans"/>
          <w:color w:val="000000"/>
        </w:rPr>
        <w:t>€/m</w:t>
      </w:r>
      <w:r w:rsidR="00036F11" w:rsidRPr="006D0120">
        <w:rPr>
          <w:rFonts w:ascii="Open Sans" w:hAnsi="Open Sans" w:cs="Open Sans"/>
          <w:color w:val="000000"/>
          <w:vertAlign w:val="superscript"/>
        </w:rPr>
        <w:t>2</w:t>
      </w:r>
      <w:r w:rsidR="00036F11">
        <w:rPr>
          <w:rFonts w:ascii="Open Sans" w:hAnsi="Open Sans" w:cs="Open Sans"/>
          <w:color w:val="000000"/>
          <w:vertAlign w:val="superscript"/>
        </w:rPr>
        <w:t xml:space="preserve"> </w:t>
      </w:r>
      <w:r w:rsidR="00036F11" w:rsidRPr="00A1719F">
        <w:rPr>
          <w:rFonts w:ascii="Open Sans" w:hAnsi="Open Sans" w:cs="Open Sans"/>
          <w:color w:val="000000"/>
        </w:rPr>
        <w:t>al mes</w:t>
      </w:r>
      <w:r w:rsidR="00036F11">
        <w:rPr>
          <w:rFonts w:ascii="Open Sans" w:hAnsi="Open Sans" w:cs="Open Sans"/>
          <w:color w:val="000000"/>
        </w:rPr>
        <w:t xml:space="preserve">), </w:t>
      </w:r>
      <w:r w:rsidR="00E76242" w:rsidRPr="00555E5A">
        <w:rPr>
          <w:rFonts w:ascii="Open Sans" w:hAnsi="Open Sans" w:cs="Open Sans"/>
          <w:color w:val="000000"/>
        </w:rPr>
        <w:t>Castelldefels</w:t>
      </w:r>
      <w:r w:rsidR="00E76242" w:rsidRPr="00DB3B1F">
        <w:rPr>
          <w:rFonts w:ascii="Open Sans" w:hAnsi="Open Sans" w:cs="Open Sans"/>
          <w:color w:val="000000"/>
        </w:rPr>
        <w:t xml:space="preserve"> </w:t>
      </w:r>
      <w:r w:rsidR="00E76242">
        <w:rPr>
          <w:rFonts w:ascii="Open Sans" w:hAnsi="Open Sans" w:cs="Open Sans"/>
          <w:color w:val="000000"/>
        </w:rPr>
        <w:t>(</w:t>
      </w:r>
      <w:r w:rsidR="00036F11">
        <w:rPr>
          <w:rFonts w:ascii="Open Sans" w:hAnsi="Open Sans" w:cs="Open Sans"/>
          <w:color w:val="000000"/>
        </w:rPr>
        <w:t>14,90</w:t>
      </w:r>
      <w:r w:rsidR="00E76242">
        <w:rPr>
          <w:rFonts w:ascii="Open Sans" w:hAnsi="Open Sans" w:cs="Open Sans"/>
          <w:color w:val="000000"/>
        </w:rPr>
        <w:t xml:space="preserve"> </w:t>
      </w:r>
      <w:r w:rsidR="00E76242" w:rsidRPr="006D0120">
        <w:rPr>
          <w:rFonts w:ascii="Open Sans" w:hAnsi="Open Sans" w:cs="Open Sans"/>
          <w:color w:val="000000"/>
        </w:rPr>
        <w:t>€/m</w:t>
      </w:r>
      <w:r w:rsidR="00E76242" w:rsidRPr="006D0120">
        <w:rPr>
          <w:rFonts w:ascii="Open Sans" w:hAnsi="Open Sans" w:cs="Open Sans"/>
          <w:color w:val="000000"/>
          <w:vertAlign w:val="superscript"/>
        </w:rPr>
        <w:t>2</w:t>
      </w:r>
      <w:r w:rsidR="00E76242">
        <w:rPr>
          <w:rFonts w:ascii="Open Sans" w:hAnsi="Open Sans" w:cs="Open Sans"/>
          <w:color w:val="000000"/>
          <w:vertAlign w:val="superscript"/>
        </w:rPr>
        <w:t xml:space="preserve"> </w:t>
      </w:r>
      <w:r w:rsidR="00E76242" w:rsidRPr="00A1719F">
        <w:rPr>
          <w:rFonts w:ascii="Open Sans" w:hAnsi="Open Sans" w:cs="Open Sans"/>
          <w:color w:val="000000"/>
        </w:rPr>
        <w:t>al mes</w:t>
      </w:r>
      <w:r w:rsidR="00E76242">
        <w:rPr>
          <w:rFonts w:ascii="Open Sans" w:hAnsi="Open Sans" w:cs="Open Sans"/>
          <w:color w:val="000000"/>
        </w:rPr>
        <w:t>),</w:t>
      </w:r>
      <w:r w:rsidR="00E76242" w:rsidRPr="00E76242">
        <w:rPr>
          <w:rFonts w:ascii="Open Sans" w:hAnsi="Open Sans" w:cs="Open Sans"/>
          <w:color w:val="000000"/>
        </w:rPr>
        <w:t xml:space="preserve"> </w:t>
      </w:r>
      <w:r w:rsidR="00036F11" w:rsidRPr="00DB3B1F">
        <w:rPr>
          <w:rFonts w:ascii="Open Sans" w:hAnsi="Open Sans" w:cs="Open Sans"/>
          <w:color w:val="000000"/>
        </w:rPr>
        <w:t>Sant Cugat del Vallès</w:t>
      </w:r>
      <w:r w:rsidR="00036F11">
        <w:rPr>
          <w:rFonts w:ascii="Open Sans" w:hAnsi="Open Sans" w:cs="Open Sans"/>
          <w:color w:val="000000"/>
        </w:rPr>
        <w:t xml:space="preserve"> </w:t>
      </w:r>
      <w:r w:rsidR="00E76242">
        <w:rPr>
          <w:rFonts w:ascii="Open Sans" w:hAnsi="Open Sans" w:cs="Open Sans"/>
          <w:color w:val="000000"/>
        </w:rPr>
        <w:t>(</w:t>
      </w:r>
      <w:r w:rsidR="00036F11">
        <w:rPr>
          <w:rFonts w:ascii="Open Sans" w:hAnsi="Open Sans" w:cs="Open Sans"/>
          <w:color w:val="000000"/>
        </w:rPr>
        <w:t>14,55</w:t>
      </w:r>
      <w:r w:rsidR="00E76242">
        <w:rPr>
          <w:rFonts w:ascii="Open Sans" w:hAnsi="Open Sans" w:cs="Open Sans"/>
          <w:color w:val="000000"/>
        </w:rPr>
        <w:t xml:space="preserve"> </w:t>
      </w:r>
      <w:r w:rsidR="00E76242" w:rsidRPr="006D0120">
        <w:rPr>
          <w:rFonts w:ascii="Open Sans" w:hAnsi="Open Sans" w:cs="Open Sans"/>
          <w:color w:val="000000"/>
        </w:rPr>
        <w:t>€/m</w:t>
      </w:r>
      <w:r w:rsidR="00E76242" w:rsidRPr="006D0120">
        <w:rPr>
          <w:rFonts w:ascii="Open Sans" w:hAnsi="Open Sans" w:cs="Open Sans"/>
          <w:color w:val="000000"/>
          <w:vertAlign w:val="superscript"/>
        </w:rPr>
        <w:t>2</w:t>
      </w:r>
      <w:r w:rsidR="00E76242">
        <w:rPr>
          <w:rFonts w:ascii="Open Sans" w:hAnsi="Open Sans" w:cs="Open Sans"/>
          <w:color w:val="000000"/>
          <w:vertAlign w:val="superscript"/>
        </w:rPr>
        <w:t xml:space="preserve"> </w:t>
      </w:r>
      <w:r w:rsidR="00E76242" w:rsidRPr="00A1719F">
        <w:rPr>
          <w:rFonts w:ascii="Open Sans" w:hAnsi="Open Sans" w:cs="Open Sans"/>
          <w:color w:val="000000"/>
        </w:rPr>
        <w:t>al mes</w:t>
      </w:r>
      <w:r w:rsidR="00E76242">
        <w:rPr>
          <w:rFonts w:ascii="Open Sans" w:hAnsi="Open Sans" w:cs="Open Sans"/>
          <w:color w:val="000000"/>
        </w:rPr>
        <w:t>),</w:t>
      </w:r>
      <w:r w:rsidR="00E76242" w:rsidRPr="00E76242">
        <w:rPr>
          <w:rFonts w:ascii="Open Sans" w:hAnsi="Open Sans" w:cs="Open Sans"/>
          <w:color w:val="000000"/>
        </w:rPr>
        <w:t xml:space="preserve"> </w:t>
      </w:r>
      <w:r w:rsidR="00E76242" w:rsidRPr="00DB3B1F">
        <w:rPr>
          <w:rFonts w:ascii="Open Sans" w:hAnsi="Open Sans" w:cs="Open Sans"/>
          <w:color w:val="000000"/>
        </w:rPr>
        <w:t>Sitges</w:t>
      </w:r>
      <w:r w:rsidR="00E76242">
        <w:rPr>
          <w:rFonts w:ascii="Open Sans" w:hAnsi="Open Sans" w:cs="Open Sans"/>
          <w:color w:val="000000"/>
        </w:rPr>
        <w:t xml:space="preserve"> (14,</w:t>
      </w:r>
      <w:r w:rsidR="00036F11">
        <w:rPr>
          <w:rFonts w:ascii="Open Sans" w:hAnsi="Open Sans" w:cs="Open Sans"/>
          <w:color w:val="000000"/>
        </w:rPr>
        <w:t>52</w:t>
      </w:r>
      <w:r w:rsidR="00E76242">
        <w:rPr>
          <w:rFonts w:ascii="Open Sans" w:hAnsi="Open Sans" w:cs="Open Sans"/>
          <w:color w:val="000000"/>
        </w:rPr>
        <w:t xml:space="preserve"> </w:t>
      </w:r>
      <w:r w:rsidR="00E76242" w:rsidRPr="006D0120">
        <w:rPr>
          <w:rFonts w:ascii="Open Sans" w:hAnsi="Open Sans" w:cs="Open Sans"/>
          <w:color w:val="000000"/>
        </w:rPr>
        <w:t>€/m</w:t>
      </w:r>
      <w:r w:rsidR="00E76242" w:rsidRPr="006D0120">
        <w:rPr>
          <w:rFonts w:ascii="Open Sans" w:hAnsi="Open Sans" w:cs="Open Sans"/>
          <w:color w:val="000000"/>
          <w:vertAlign w:val="superscript"/>
        </w:rPr>
        <w:t>2</w:t>
      </w:r>
      <w:r w:rsidR="00E76242">
        <w:rPr>
          <w:rFonts w:ascii="Open Sans" w:hAnsi="Open Sans" w:cs="Open Sans"/>
          <w:color w:val="000000"/>
          <w:vertAlign w:val="superscript"/>
        </w:rPr>
        <w:t xml:space="preserve"> </w:t>
      </w:r>
      <w:r w:rsidR="00E76242" w:rsidRPr="00A1719F">
        <w:rPr>
          <w:rFonts w:ascii="Open Sans" w:hAnsi="Open Sans" w:cs="Open Sans"/>
          <w:color w:val="000000"/>
        </w:rPr>
        <w:t>al mes</w:t>
      </w:r>
      <w:r w:rsidR="00E76242">
        <w:rPr>
          <w:rFonts w:ascii="Open Sans" w:hAnsi="Open Sans" w:cs="Open Sans"/>
          <w:color w:val="000000"/>
        </w:rPr>
        <w:t>),</w:t>
      </w:r>
      <w:r w:rsidR="00E76242" w:rsidRPr="00E76242">
        <w:rPr>
          <w:rFonts w:ascii="Open Sans" w:hAnsi="Open Sans" w:cs="Open Sans"/>
          <w:color w:val="000000"/>
        </w:rPr>
        <w:t xml:space="preserve"> </w:t>
      </w:r>
      <w:r w:rsidR="00E76242" w:rsidRPr="00194B3B">
        <w:rPr>
          <w:rFonts w:ascii="Open Sans" w:hAnsi="Open Sans" w:cs="Open Sans"/>
          <w:color w:val="000000"/>
        </w:rPr>
        <w:t xml:space="preserve">L'Hospitalet de Llobregat </w:t>
      </w:r>
      <w:r w:rsidR="00E76242">
        <w:rPr>
          <w:rFonts w:ascii="Open Sans" w:hAnsi="Open Sans" w:cs="Open Sans"/>
          <w:color w:val="000000"/>
        </w:rPr>
        <w:t>(14,</w:t>
      </w:r>
      <w:r w:rsidR="00036F11">
        <w:rPr>
          <w:rFonts w:ascii="Open Sans" w:hAnsi="Open Sans" w:cs="Open Sans"/>
          <w:color w:val="000000"/>
        </w:rPr>
        <w:t>0</w:t>
      </w:r>
      <w:r w:rsidR="00E76242">
        <w:rPr>
          <w:rFonts w:ascii="Open Sans" w:hAnsi="Open Sans" w:cs="Open Sans"/>
          <w:color w:val="000000"/>
        </w:rPr>
        <w:t xml:space="preserve">9 </w:t>
      </w:r>
      <w:r w:rsidR="00E76242" w:rsidRPr="006D0120">
        <w:rPr>
          <w:rFonts w:ascii="Open Sans" w:hAnsi="Open Sans" w:cs="Open Sans"/>
          <w:color w:val="000000"/>
        </w:rPr>
        <w:t>€/m</w:t>
      </w:r>
      <w:r w:rsidR="00E76242" w:rsidRPr="006D0120">
        <w:rPr>
          <w:rFonts w:ascii="Open Sans" w:hAnsi="Open Sans" w:cs="Open Sans"/>
          <w:color w:val="000000"/>
          <w:vertAlign w:val="superscript"/>
        </w:rPr>
        <w:t>2</w:t>
      </w:r>
      <w:r w:rsidR="00E76242">
        <w:rPr>
          <w:rFonts w:ascii="Open Sans" w:hAnsi="Open Sans" w:cs="Open Sans"/>
          <w:color w:val="000000"/>
          <w:vertAlign w:val="superscript"/>
        </w:rPr>
        <w:t xml:space="preserve"> </w:t>
      </w:r>
      <w:r w:rsidR="00E76242" w:rsidRPr="00A1719F">
        <w:rPr>
          <w:rFonts w:ascii="Open Sans" w:hAnsi="Open Sans" w:cs="Open Sans"/>
          <w:color w:val="000000"/>
        </w:rPr>
        <w:t>al mes</w:t>
      </w:r>
      <w:r w:rsidR="00E76242">
        <w:rPr>
          <w:rFonts w:ascii="Open Sans" w:hAnsi="Open Sans" w:cs="Open Sans"/>
          <w:color w:val="000000"/>
        </w:rPr>
        <w:t xml:space="preserve">) y </w:t>
      </w:r>
      <w:r w:rsidR="00036F11">
        <w:rPr>
          <w:rFonts w:ascii="Open Sans" w:hAnsi="Open Sans" w:cs="Open Sans"/>
          <w:color w:val="000000"/>
        </w:rPr>
        <w:t>Calvià</w:t>
      </w:r>
      <w:r w:rsidR="00036F11" w:rsidRPr="00CB0803">
        <w:rPr>
          <w:rFonts w:ascii="Open Sans" w:hAnsi="Open Sans" w:cs="Open Sans"/>
          <w:color w:val="000000"/>
        </w:rPr>
        <w:t xml:space="preserve"> </w:t>
      </w:r>
      <w:r w:rsidR="00036F11">
        <w:rPr>
          <w:rFonts w:ascii="Open Sans" w:hAnsi="Open Sans" w:cs="Open Sans"/>
          <w:color w:val="000000"/>
        </w:rPr>
        <w:t xml:space="preserve">(13,72 </w:t>
      </w:r>
      <w:r w:rsidR="00036F11" w:rsidRPr="006D0120">
        <w:rPr>
          <w:rFonts w:ascii="Open Sans" w:hAnsi="Open Sans" w:cs="Open Sans"/>
          <w:color w:val="000000"/>
        </w:rPr>
        <w:t>€/m</w:t>
      </w:r>
      <w:r w:rsidR="00036F11" w:rsidRPr="006D0120">
        <w:rPr>
          <w:rFonts w:ascii="Open Sans" w:hAnsi="Open Sans" w:cs="Open Sans"/>
          <w:color w:val="000000"/>
          <w:vertAlign w:val="superscript"/>
        </w:rPr>
        <w:t>2</w:t>
      </w:r>
      <w:r w:rsidR="00036F11">
        <w:rPr>
          <w:rFonts w:ascii="Open Sans" w:hAnsi="Open Sans" w:cs="Open Sans"/>
          <w:color w:val="000000"/>
          <w:vertAlign w:val="superscript"/>
        </w:rPr>
        <w:t xml:space="preserve"> </w:t>
      </w:r>
      <w:r w:rsidR="00036F11" w:rsidRPr="00A1719F">
        <w:rPr>
          <w:rFonts w:ascii="Open Sans" w:hAnsi="Open Sans" w:cs="Open Sans"/>
          <w:color w:val="000000"/>
        </w:rPr>
        <w:t>al mes</w:t>
      </w:r>
      <w:r w:rsidR="00036F11">
        <w:rPr>
          <w:rFonts w:ascii="Open Sans" w:hAnsi="Open Sans" w:cs="Open Sans"/>
          <w:color w:val="000000"/>
        </w:rPr>
        <w:t>),</w:t>
      </w:r>
    </w:p>
    <w:p w14:paraId="28E75634" w14:textId="1821031C" w:rsidR="00DD5FB6" w:rsidRDefault="00DB3B1F" w:rsidP="00700D43">
      <w:pPr>
        <w:pStyle w:val="NormalWeb"/>
        <w:spacing w:after="225" w:line="276" w:lineRule="auto"/>
        <w:ind w:right="-574"/>
        <w:jc w:val="both"/>
        <w:rPr>
          <w:rFonts w:ascii="Open Sans" w:hAnsi="Open Sans" w:cs="Open Sans"/>
          <w:color w:val="000000"/>
        </w:rPr>
      </w:pPr>
      <w:r>
        <w:rPr>
          <w:rFonts w:ascii="Open Sans" w:hAnsi="Open Sans" w:cs="Open Sans"/>
          <w:color w:val="000000"/>
        </w:rPr>
        <w:t xml:space="preserve">Por otro lado, tan solo </w:t>
      </w:r>
      <w:r w:rsidR="00E76242">
        <w:rPr>
          <w:rFonts w:ascii="Open Sans" w:hAnsi="Open Sans" w:cs="Open Sans"/>
          <w:color w:val="000000"/>
        </w:rPr>
        <w:t>tres</w:t>
      </w:r>
      <w:r>
        <w:rPr>
          <w:rFonts w:ascii="Open Sans" w:hAnsi="Open Sans" w:cs="Open Sans"/>
          <w:color w:val="000000"/>
        </w:rPr>
        <w:t xml:space="preserve"> ciudades de las analizadas tienen un precio inferior a los 5,00 euros por metro cuadrado y son: </w:t>
      </w:r>
      <w:r w:rsidR="00036F11" w:rsidRPr="00036F11">
        <w:rPr>
          <w:rFonts w:ascii="Open Sans" w:hAnsi="Open Sans" w:cs="Open Sans"/>
          <w:color w:val="000000"/>
        </w:rPr>
        <w:t xml:space="preserve">Ponferrada </w:t>
      </w:r>
      <w:r w:rsidR="00E76242">
        <w:rPr>
          <w:rFonts w:ascii="Open Sans" w:hAnsi="Open Sans" w:cs="Open Sans"/>
          <w:color w:val="000000"/>
        </w:rPr>
        <w:t>(4,</w:t>
      </w:r>
      <w:r w:rsidR="00036F11">
        <w:rPr>
          <w:rFonts w:ascii="Open Sans" w:hAnsi="Open Sans" w:cs="Open Sans"/>
          <w:color w:val="000000"/>
        </w:rPr>
        <w:t>73</w:t>
      </w:r>
      <w:r w:rsidR="00E76242">
        <w:rPr>
          <w:rFonts w:ascii="Open Sans" w:hAnsi="Open Sans" w:cs="Open Sans"/>
          <w:color w:val="000000"/>
        </w:rPr>
        <w:t xml:space="preserve"> </w:t>
      </w:r>
      <w:r w:rsidR="00E76242" w:rsidRPr="006D0120">
        <w:rPr>
          <w:rFonts w:ascii="Open Sans" w:hAnsi="Open Sans" w:cs="Open Sans"/>
          <w:color w:val="000000"/>
        </w:rPr>
        <w:t>€/m</w:t>
      </w:r>
      <w:r w:rsidR="00E76242" w:rsidRPr="006D0120">
        <w:rPr>
          <w:rFonts w:ascii="Open Sans" w:hAnsi="Open Sans" w:cs="Open Sans"/>
          <w:color w:val="000000"/>
          <w:vertAlign w:val="superscript"/>
        </w:rPr>
        <w:t>2</w:t>
      </w:r>
      <w:r w:rsidR="00E76242">
        <w:rPr>
          <w:rFonts w:ascii="Open Sans" w:hAnsi="Open Sans" w:cs="Open Sans"/>
          <w:color w:val="000000"/>
          <w:vertAlign w:val="superscript"/>
        </w:rPr>
        <w:t xml:space="preserve"> </w:t>
      </w:r>
      <w:r w:rsidR="00E76242" w:rsidRPr="00A1719F">
        <w:rPr>
          <w:rFonts w:ascii="Open Sans" w:hAnsi="Open Sans" w:cs="Open Sans"/>
          <w:color w:val="000000"/>
        </w:rPr>
        <w:t>al mes</w:t>
      </w:r>
      <w:r w:rsidR="00E76242">
        <w:rPr>
          <w:rFonts w:ascii="Open Sans" w:hAnsi="Open Sans" w:cs="Open Sans"/>
          <w:color w:val="000000"/>
        </w:rPr>
        <w:t xml:space="preserve">), </w:t>
      </w:r>
      <w:r w:rsidR="00194B3B" w:rsidRPr="00194B3B">
        <w:rPr>
          <w:rFonts w:ascii="Open Sans" w:hAnsi="Open Sans" w:cs="Open Sans"/>
          <w:color w:val="000000"/>
        </w:rPr>
        <w:t xml:space="preserve">Alcoy / Alcoi </w:t>
      </w:r>
      <w:r>
        <w:rPr>
          <w:rFonts w:ascii="Open Sans" w:hAnsi="Open Sans" w:cs="Open Sans"/>
          <w:color w:val="000000"/>
        </w:rPr>
        <w:t>(</w:t>
      </w:r>
      <w:r w:rsidR="00555E5A">
        <w:rPr>
          <w:rFonts w:ascii="Open Sans" w:hAnsi="Open Sans" w:cs="Open Sans"/>
          <w:color w:val="000000"/>
        </w:rPr>
        <w:t>4,</w:t>
      </w:r>
      <w:r w:rsidR="00E76242">
        <w:rPr>
          <w:rFonts w:ascii="Open Sans" w:hAnsi="Open Sans" w:cs="Open Sans"/>
          <w:color w:val="000000"/>
        </w:rPr>
        <w:t>8</w:t>
      </w:r>
      <w:r w:rsidR="00036F11">
        <w:rPr>
          <w:rFonts w:ascii="Open Sans" w:hAnsi="Open Sans" w:cs="Open Sans"/>
          <w:color w:val="000000"/>
        </w:rPr>
        <w:t>8</w:t>
      </w:r>
      <w:r w:rsidR="00194B3B">
        <w:rPr>
          <w:rFonts w:ascii="Open Sans" w:hAnsi="Open Sans" w:cs="Open Sans"/>
          <w:color w:val="000000"/>
        </w:rPr>
        <w:t xml:space="preserve"> </w:t>
      </w:r>
      <w:r w:rsidRPr="006D0120">
        <w:rPr>
          <w:rFonts w:ascii="Open Sans" w:hAnsi="Open Sans" w:cs="Open Sans"/>
          <w:color w:val="000000"/>
        </w:rPr>
        <w:t>€/m</w:t>
      </w:r>
      <w:r w:rsidRPr="006D0120">
        <w:rPr>
          <w:rFonts w:ascii="Open Sans" w:hAnsi="Open Sans" w:cs="Open Sans"/>
          <w:color w:val="000000"/>
          <w:vertAlign w:val="superscript"/>
        </w:rPr>
        <w:t>2</w:t>
      </w:r>
      <w:r>
        <w:rPr>
          <w:rFonts w:ascii="Open Sans" w:hAnsi="Open Sans" w:cs="Open Sans"/>
          <w:color w:val="000000"/>
          <w:vertAlign w:val="superscript"/>
        </w:rPr>
        <w:t xml:space="preserve"> </w:t>
      </w:r>
      <w:r w:rsidRPr="00A1719F">
        <w:rPr>
          <w:rFonts w:ascii="Open Sans" w:hAnsi="Open Sans" w:cs="Open Sans"/>
          <w:color w:val="000000"/>
        </w:rPr>
        <w:t>al mes</w:t>
      </w:r>
      <w:r>
        <w:rPr>
          <w:rFonts w:ascii="Open Sans" w:hAnsi="Open Sans" w:cs="Open Sans"/>
          <w:color w:val="000000"/>
        </w:rPr>
        <w:t>)</w:t>
      </w:r>
      <w:r w:rsidR="00555E5A">
        <w:rPr>
          <w:rFonts w:ascii="Open Sans" w:hAnsi="Open Sans" w:cs="Open Sans"/>
          <w:color w:val="000000"/>
        </w:rPr>
        <w:t xml:space="preserve"> y</w:t>
      </w:r>
      <w:r>
        <w:rPr>
          <w:rFonts w:ascii="Open Sans" w:hAnsi="Open Sans" w:cs="Open Sans"/>
          <w:color w:val="000000"/>
        </w:rPr>
        <w:t xml:space="preserve"> </w:t>
      </w:r>
      <w:r w:rsidR="00E76242">
        <w:rPr>
          <w:rFonts w:ascii="Open Sans" w:hAnsi="Open Sans" w:cs="Open Sans"/>
          <w:color w:val="000000"/>
        </w:rPr>
        <w:t>Ferrol</w:t>
      </w:r>
      <w:r w:rsidR="00555E5A" w:rsidRPr="00555E5A">
        <w:rPr>
          <w:rFonts w:ascii="Open Sans" w:hAnsi="Open Sans" w:cs="Open Sans"/>
          <w:color w:val="000000"/>
        </w:rPr>
        <w:t xml:space="preserve"> </w:t>
      </w:r>
      <w:r>
        <w:rPr>
          <w:rFonts w:ascii="Open Sans" w:hAnsi="Open Sans" w:cs="Open Sans"/>
          <w:color w:val="000000"/>
        </w:rPr>
        <w:t>(4,</w:t>
      </w:r>
      <w:r w:rsidR="00194B3B">
        <w:rPr>
          <w:rFonts w:ascii="Open Sans" w:hAnsi="Open Sans" w:cs="Open Sans"/>
          <w:color w:val="000000"/>
        </w:rPr>
        <w:t>9</w:t>
      </w:r>
      <w:r w:rsidR="00036F11">
        <w:rPr>
          <w:rFonts w:ascii="Open Sans" w:hAnsi="Open Sans" w:cs="Open Sans"/>
          <w:color w:val="000000"/>
        </w:rPr>
        <w:t>8</w:t>
      </w:r>
      <w:r w:rsidR="00CB0803">
        <w:rPr>
          <w:rFonts w:ascii="Open Sans" w:hAnsi="Open Sans" w:cs="Open Sans"/>
          <w:color w:val="000000"/>
        </w:rPr>
        <w:t xml:space="preserve"> </w:t>
      </w:r>
      <w:r w:rsidRPr="006D0120">
        <w:rPr>
          <w:rFonts w:ascii="Open Sans" w:hAnsi="Open Sans" w:cs="Open Sans"/>
          <w:color w:val="000000"/>
        </w:rPr>
        <w:t>€/m</w:t>
      </w:r>
      <w:r w:rsidRPr="006D0120">
        <w:rPr>
          <w:rFonts w:ascii="Open Sans" w:hAnsi="Open Sans" w:cs="Open Sans"/>
          <w:color w:val="000000"/>
          <w:vertAlign w:val="superscript"/>
        </w:rPr>
        <w:t>2</w:t>
      </w:r>
      <w:r>
        <w:rPr>
          <w:rFonts w:ascii="Open Sans" w:hAnsi="Open Sans" w:cs="Open Sans"/>
          <w:color w:val="000000"/>
          <w:vertAlign w:val="superscript"/>
        </w:rPr>
        <w:t xml:space="preserve"> </w:t>
      </w:r>
      <w:r w:rsidRPr="00A1719F">
        <w:rPr>
          <w:rFonts w:ascii="Open Sans" w:hAnsi="Open Sans" w:cs="Open Sans"/>
          <w:color w:val="000000"/>
        </w:rPr>
        <w:t>al mes</w:t>
      </w:r>
      <w:r>
        <w:rPr>
          <w:rFonts w:ascii="Open Sans" w:hAnsi="Open Sans" w:cs="Open Sans"/>
          <w:color w:val="000000"/>
        </w:rPr>
        <w:t>)</w:t>
      </w:r>
      <w:r w:rsidR="00555E5A">
        <w:rPr>
          <w:rFonts w:ascii="Open Sans" w:hAnsi="Open Sans" w:cs="Open Sans"/>
          <w:color w:val="000000"/>
        </w:rPr>
        <w:t xml:space="preserve">. </w:t>
      </w:r>
    </w:p>
    <w:p w14:paraId="45810B09" w14:textId="02912526" w:rsidR="000A772E" w:rsidRDefault="000A772E" w:rsidP="00700D43">
      <w:pPr>
        <w:pStyle w:val="NormalWeb"/>
        <w:spacing w:after="225" w:line="276" w:lineRule="auto"/>
        <w:ind w:right="-574"/>
        <w:jc w:val="both"/>
        <w:rPr>
          <w:rFonts w:ascii="Open Sans" w:hAnsi="Open Sans" w:cs="Open Sans"/>
          <w:color w:val="000000"/>
        </w:rPr>
      </w:pPr>
    </w:p>
    <w:p w14:paraId="154AE438" w14:textId="77777777" w:rsidR="000A772E" w:rsidRDefault="000A772E" w:rsidP="00700D43">
      <w:pPr>
        <w:pStyle w:val="NormalWeb"/>
        <w:spacing w:after="225" w:line="276" w:lineRule="auto"/>
        <w:ind w:right="-574"/>
        <w:jc w:val="both"/>
        <w:rPr>
          <w:rFonts w:ascii="Open Sans" w:hAnsi="Open Sans" w:cs="Open Sans"/>
          <w:color w:val="000000"/>
        </w:rPr>
      </w:pPr>
    </w:p>
    <w:p w14:paraId="19B38C7B" w14:textId="752201C6" w:rsidR="000A772E" w:rsidRPr="003D4229" w:rsidRDefault="00316DBC" w:rsidP="003D4229">
      <w:pPr>
        <w:pStyle w:val="NormalWeb"/>
        <w:shd w:val="clear" w:color="auto" w:fill="FFFFFF"/>
        <w:spacing w:after="225" w:line="276" w:lineRule="auto"/>
        <w:ind w:right="-574"/>
        <w:jc w:val="both"/>
        <w:rPr>
          <w:rFonts w:ascii="Open Sans Light" w:hAnsi="Open Sans Light" w:cs="Open Sans Light"/>
          <w:b/>
          <w:iCs/>
          <w:color w:val="303AB2"/>
          <w:sz w:val="28"/>
          <w:szCs w:val="22"/>
        </w:rPr>
      </w:pPr>
      <w:r>
        <w:rPr>
          <w:rFonts w:ascii="Open Sans Light" w:hAnsi="Open Sans Light" w:cs="Open Sans Light"/>
          <w:b/>
          <w:iCs/>
          <w:color w:val="303AB2"/>
          <w:sz w:val="28"/>
          <w:szCs w:val="22"/>
        </w:rPr>
        <w:lastRenderedPageBreak/>
        <w:t>Municipios</w:t>
      </w:r>
      <w:r w:rsidRPr="00DB0D52">
        <w:rPr>
          <w:rFonts w:ascii="Open Sans Light" w:hAnsi="Open Sans Light" w:cs="Open Sans Light"/>
          <w:b/>
          <w:iCs/>
          <w:color w:val="303AB2"/>
          <w:sz w:val="28"/>
          <w:szCs w:val="22"/>
        </w:rPr>
        <w:t xml:space="preserve"> </w:t>
      </w:r>
      <w:r w:rsidR="003D4229" w:rsidRPr="00DB0D52">
        <w:rPr>
          <w:rFonts w:ascii="Open Sans Light" w:hAnsi="Open Sans Light" w:cs="Open Sans Light"/>
          <w:b/>
          <w:iCs/>
          <w:color w:val="303AB2"/>
          <w:sz w:val="28"/>
          <w:szCs w:val="22"/>
        </w:rPr>
        <w:t xml:space="preserve">con mayor </w:t>
      </w:r>
      <w:r w:rsidR="003D4229">
        <w:rPr>
          <w:rFonts w:ascii="Open Sans Light" w:hAnsi="Open Sans Light" w:cs="Open Sans Light"/>
          <w:b/>
          <w:iCs/>
          <w:color w:val="303AB2"/>
          <w:sz w:val="28"/>
          <w:szCs w:val="22"/>
        </w:rPr>
        <w:t xml:space="preserve">precio en </w:t>
      </w:r>
      <w:r w:rsidR="00E016BE">
        <w:rPr>
          <w:rFonts w:ascii="Open Sans Light" w:hAnsi="Open Sans Light" w:cs="Open Sans Light"/>
          <w:b/>
          <w:iCs/>
          <w:color w:val="303AB2"/>
          <w:sz w:val="28"/>
          <w:szCs w:val="22"/>
        </w:rPr>
        <w:t>octubre</w:t>
      </w:r>
    </w:p>
    <w:tbl>
      <w:tblPr>
        <w:tblStyle w:val="Tabladecuadrcula5oscura-nfasis11"/>
        <w:tblpPr w:leftFromText="141" w:rightFromText="141" w:vertAnchor="text" w:horzAnchor="margin" w:tblpX="-39" w:tblpY="137"/>
        <w:tblW w:w="9493" w:type="dxa"/>
        <w:tblLook w:val="04A0" w:firstRow="1" w:lastRow="0" w:firstColumn="1" w:lastColumn="0" w:noHBand="0" w:noVBand="1"/>
      </w:tblPr>
      <w:tblGrid>
        <w:gridCol w:w="1560"/>
        <w:gridCol w:w="2404"/>
        <w:gridCol w:w="1985"/>
        <w:gridCol w:w="1843"/>
        <w:gridCol w:w="1701"/>
      </w:tblGrid>
      <w:tr w:rsidR="00076893" w:rsidRPr="00E76242" w14:paraId="3363FF3C" w14:textId="77777777" w:rsidTr="00076893">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057C214" w14:textId="77777777" w:rsidR="00076893" w:rsidRPr="00E76242" w:rsidRDefault="00076893" w:rsidP="00076893">
            <w:pPr>
              <w:rPr>
                <w:rFonts w:ascii="Open Sans" w:hAnsi="Open Sans" w:cs="Open Sans"/>
                <w:b w:val="0"/>
                <w:bCs w:val="0"/>
                <w:sz w:val="22"/>
                <w:szCs w:val="22"/>
                <w:lang w:val="es-ES"/>
              </w:rPr>
            </w:pPr>
            <w:r w:rsidRPr="00E76242">
              <w:rPr>
                <w:rFonts w:ascii="Open Sans" w:hAnsi="Open Sans" w:cs="Open Sans"/>
                <w:b w:val="0"/>
                <w:bCs w:val="0"/>
                <w:sz w:val="22"/>
                <w:szCs w:val="22"/>
                <w:lang w:val="es-ES"/>
              </w:rPr>
              <w:t>Provincia</w:t>
            </w:r>
          </w:p>
        </w:tc>
        <w:tc>
          <w:tcPr>
            <w:tcW w:w="2404" w:type="dxa"/>
            <w:vAlign w:val="center"/>
          </w:tcPr>
          <w:p w14:paraId="11BD2913" w14:textId="77777777" w:rsidR="00076893" w:rsidRPr="00E76242" w:rsidRDefault="00076893" w:rsidP="00076893">
            <w:pP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iCs/>
                <w:sz w:val="22"/>
                <w:szCs w:val="22"/>
                <w:lang w:val="es-ES"/>
              </w:rPr>
            </w:pPr>
            <w:r w:rsidRPr="00E76242">
              <w:rPr>
                <w:rFonts w:ascii="Open Sans" w:hAnsi="Open Sans" w:cs="Open Sans"/>
                <w:b w:val="0"/>
                <w:bCs w:val="0"/>
                <w:iCs/>
                <w:sz w:val="22"/>
                <w:szCs w:val="22"/>
                <w:lang w:val="es-ES"/>
              </w:rPr>
              <w:t>Municipio</w:t>
            </w:r>
          </w:p>
        </w:tc>
        <w:tc>
          <w:tcPr>
            <w:tcW w:w="1985" w:type="dxa"/>
            <w:vAlign w:val="center"/>
          </w:tcPr>
          <w:p w14:paraId="5BED1FF2" w14:textId="45711F5B" w:rsidR="00076893" w:rsidRPr="00E76242" w:rsidRDefault="00036F11" w:rsidP="00E76242">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Pr>
                <w:rFonts w:ascii="Open Sans" w:hAnsi="Open Sans" w:cs="Open Sans"/>
                <w:b w:val="0"/>
                <w:bCs w:val="0"/>
                <w:sz w:val="22"/>
                <w:szCs w:val="22"/>
                <w:lang w:val="es-ES"/>
              </w:rPr>
              <w:t>Oct.</w:t>
            </w:r>
            <w:r w:rsidR="00333462" w:rsidRPr="00E76242">
              <w:rPr>
                <w:rFonts w:ascii="Open Sans" w:hAnsi="Open Sans" w:cs="Open Sans"/>
                <w:b w:val="0"/>
                <w:bCs w:val="0"/>
                <w:sz w:val="22"/>
                <w:szCs w:val="22"/>
                <w:lang w:val="es-ES"/>
              </w:rPr>
              <w:t xml:space="preserve"> </w:t>
            </w:r>
            <w:r w:rsidR="00076893" w:rsidRPr="00E76242">
              <w:rPr>
                <w:rFonts w:ascii="Open Sans" w:hAnsi="Open Sans" w:cs="Open Sans"/>
                <w:b w:val="0"/>
                <w:bCs w:val="0"/>
                <w:sz w:val="22"/>
                <w:szCs w:val="22"/>
                <w:lang w:val="es-ES"/>
              </w:rPr>
              <w:t>2020</w:t>
            </w:r>
            <w:r w:rsidR="00076893" w:rsidRPr="00E76242">
              <w:rPr>
                <w:rFonts w:ascii="Open Sans" w:hAnsi="Open Sans" w:cs="Open Sans"/>
                <w:b w:val="0"/>
                <w:bCs w:val="0"/>
                <w:sz w:val="22"/>
                <w:szCs w:val="22"/>
                <w:lang w:val="es-ES"/>
              </w:rPr>
              <w:br/>
              <w:t>(€/m</w:t>
            </w:r>
            <w:r w:rsidR="00076893" w:rsidRPr="00E76242">
              <w:rPr>
                <w:rFonts w:ascii="Open Sans" w:hAnsi="Open Sans" w:cs="Open Sans"/>
                <w:b w:val="0"/>
                <w:bCs w:val="0"/>
                <w:sz w:val="22"/>
                <w:szCs w:val="22"/>
                <w:vertAlign w:val="superscript"/>
                <w:lang w:val="es-ES"/>
              </w:rPr>
              <w:t xml:space="preserve">2 </w:t>
            </w:r>
            <w:r w:rsidR="00076893" w:rsidRPr="00E76242">
              <w:rPr>
                <w:rFonts w:ascii="Open Sans" w:hAnsi="Open Sans" w:cs="Open Sans"/>
                <w:b w:val="0"/>
                <w:bCs w:val="0"/>
                <w:sz w:val="22"/>
                <w:szCs w:val="22"/>
                <w:lang w:val="es-ES"/>
              </w:rPr>
              <w:t>al mes)</w:t>
            </w:r>
          </w:p>
        </w:tc>
        <w:tc>
          <w:tcPr>
            <w:tcW w:w="1843" w:type="dxa"/>
          </w:tcPr>
          <w:p w14:paraId="753E54A3" w14:textId="309EECBF" w:rsidR="00076893" w:rsidRPr="00E76242" w:rsidRDefault="00076893" w:rsidP="0007689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E76242">
              <w:rPr>
                <w:rFonts w:ascii="Open Sans" w:hAnsi="Open Sans" w:cs="Open Sans"/>
                <w:b w:val="0"/>
                <w:bCs w:val="0"/>
                <w:sz w:val="22"/>
                <w:szCs w:val="22"/>
                <w:lang w:val="es-ES"/>
              </w:rPr>
              <w:t>Variación</w:t>
            </w:r>
          </w:p>
          <w:p w14:paraId="69ACAF69" w14:textId="7341F443" w:rsidR="00076893" w:rsidRPr="00E76242" w:rsidRDefault="00076893" w:rsidP="0007689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E76242">
              <w:rPr>
                <w:rFonts w:ascii="Open Sans" w:hAnsi="Open Sans" w:cs="Open Sans"/>
                <w:b w:val="0"/>
                <w:bCs w:val="0"/>
                <w:sz w:val="22"/>
                <w:szCs w:val="22"/>
                <w:lang w:val="es-ES"/>
              </w:rPr>
              <w:t>mensual (%)</w:t>
            </w:r>
          </w:p>
        </w:tc>
        <w:tc>
          <w:tcPr>
            <w:tcW w:w="1701" w:type="dxa"/>
          </w:tcPr>
          <w:p w14:paraId="3ABD0EBC" w14:textId="1822B0AE" w:rsidR="00076893" w:rsidRPr="00E76242" w:rsidRDefault="00076893" w:rsidP="00076893">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E76242">
              <w:rPr>
                <w:rFonts w:ascii="Open Sans" w:hAnsi="Open Sans" w:cs="Open Sans"/>
                <w:b w:val="0"/>
                <w:bCs w:val="0"/>
                <w:sz w:val="22"/>
                <w:szCs w:val="22"/>
                <w:lang w:val="es-ES"/>
              </w:rPr>
              <w:t>Variación interanual (%)</w:t>
            </w:r>
          </w:p>
        </w:tc>
      </w:tr>
      <w:tr w:rsidR="00036F11" w:rsidRPr="00E76242" w14:paraId="22C24DC0" w14:textId="77777777" w:rsidTr="0007689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F5CAB0B" w14:textId="21EE2F83"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Gipuzkoa</w:t>
            </w:r>
          </w:p>
        </w:tc>
        <w:tc>
          <w:tcPr>
            <w:tcW w:w="2404" w:type="dxa"/>
            <w:vAlign w:val="bottom"/>
          </w:tcPr>
          <w:p w14:paraId="311A9459" w14:textId="4FFFA766" w:rsidR="00036F11" w:rsidRPr="00036F11" w:rsidRDefault="00036F11" w:rsidP="00036F11">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Donostia - San Sebastián</w:t>
            </w:r>
          </w:p>
        </w:tc>
        <w:tc>
          <w:tcPr>
            <w:tcW w:w="1985" w:type="dxa"/>
            <w:vAlign w:val="bottom"/>
          </w:tcPr>
          <w:p w14:paraId="2587B077" w14:textId="44A24216"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16,33 € </w:t>
            </w:r>
          </w:p>
        </w:tc>
        <w:tc>
          <w:tcPr>
            <w:tcW w:w="1843" w:type="dxa"/>
            <w:vAlign w:val="bottom"/>
          </w:tcPr>
          <w:p w14:paraId="63B9DB85" w14:textId="439949AD"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1,2%</w:t>
            </w:r>
          </w:p>
        </w:tc>
        <w:tc>
          <w:tcPr>
            <w:tcW w:w="1701" w:type="dxa"/>
            <w:vAlign w:val="bottom"/>
          </w:tcPr>
          <w:p w14:paraId="6C275834" w14:textId="713375D6"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-0,5%</w:t>
            </w:r>
          </w:p>
        </w:tc>
      </w:tr>
      <w:tr w:rsidR="00036F11" w:rsidRPr="00E76242" w14:paraId="3B607ADC" w14:textId="77777777" w:rsidTr="00076893">
        <w:trPr>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4ABD338C" w14:textId="4A10C980"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Illes Balears</w:t>
            </w:r>
          </w:p>
        </w:tc>
        <w:tc>
          <w:tcPr>
            <w:tcW w:w="2404" w:type="dxa"/>
            <w:vAlign w:val="bottom"/>
          </w:tcPr>
          <w:p w14:paraId="576F6C8E" w14:textId="37F8A5DE" w:rsidR="00036F11" w:rsidRPr="00036F11" w:rsidRDefault="00036F11" w:rsidP="00036F11">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Eivissa</w:t>
            </w:r>
          </w:p>
        </w:tc>
        <w:tc>
          <w:tcPr>
            <w:tcW w:w="1985" w:type="dxa"/>
            <w:vAlign w:val="bottom"/>
          </w:tcPr>
          <w:p w14:paraId="77382C40" w14:textId="53711002"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16,25 € </w:t>
            </w:r>
          </w:p>
        </w:tc>
        <w:tc>
          <w:tcPr>
            <w:tcW w:w="1843" w:type="dxa"/>
            <w:vAlign w:val="bottom"/>
          </w:tcPr>
          <w:p w14:paraId="68A47699" w14:textId="52C36093"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-1,3%</w:t>
            </w:r>
          </w:p>
        </w:tc>
        <w:tc>
          <w:tcPr>
            <w:tcW w:w="1701" w:type="dxa"/>
            <w:vAlign w:val="bottom"/>
          </w:tcPr>
          <w:p w14:paraId="0866C4D2" w14:textId="7F1A85EC"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-6,2%</w:t>
            </w:r>
          </w:p>
        </w:tc>
      </w:tr>
      <w:tr w:rsidR="00036F11" w:rsidRPr="00E76242" w14:paraId="245C5E12" w14:textId="77777777" w:rsidTr="0007689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18A4CF3" w14:textId="700EE62F"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Barcelona</w:t>
            </w:r>
          </w:p>
        </w:tc>
        <w:tc>
          <w:tcPr>
            <w:tcW w:w="2404" w:type="dxa"/>
            <w:vAlign w:val="bottom"/>
          </w:tcPr>
          <w:p w14:paraId="41B6ECDB" w14:textId="7FFAF08A" w:rsidR="00036F11" w:rsidRPr="00036F11" w:rsidRDefault="00036F11" w:rsidP="00036F11">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Barcelona Capital</w:t>
            </w:r>
          </w:p>
        </w:tc>
        <w:tc>
          <w:tcPr>
            <w:tcW w:w="1985" w:type="dxa"/>
            <w:vAlign w:val="bottom"/>
          </w:tcPr>
          <w:p w14:paraId="35592F32" w14:textId="447A202C"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16,07 € </w:t>
            </w:r>
          </w:p>
        </w:tc>
        <w:tc>
          <w:tcPr>
            <w:tcW w:w="1843" w:type="dxa"/>
            <w:vAlign w:val="bottom"/>
          </w:tcPr>
          <w:p w14:paraId="21A95A96" w14:textId="235A283F"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-2,2%</w:t>
            </w:r>
          </w:p>
        </w:tc>
        <w:tc>
          <w:tcPr>
            <w:tcW w:w="1701" w:type="dxa"/>
            <w:vAlign w:val="bottom"/>
          </w:tcPr>
          <w:p w14:paraId="7904FBD7" w14:textId="678F7DC5"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-7,3%</w:t>
            </w:r>
          </w:p>
        </w:tc>
      </w:tr>
      <w:tr w:rsidR="00036F11" w:rsidRPr="00E76242" w14:paraId="69744C7E" w14:textId="77777777" w:rsidTr="00076893">
        <w:trPr>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691A69E" w14:textId="4596F89B"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Madrid</w:t>
            </w:r>
          </w:p>
        </w:tc>
        <w:tc>
          <w:tcPr>
            <w:tcW w:w="2404" w:type="dxa"/>
            <w:vAlign w:val="bottom"/>
          </w:tcPr>
          <w:p w14:paraId="1CB1B937" w14:textId="748F8AE9" w:rsidR="00036F11" w:rsidRPr="00036F11" w:rsidRDefault="00036F11" w:rsidP="00036F11">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Madrid Capital</w:t>
            </w:r>
          </w:p>
        </w:tc>
        <w:tc>
          <w:tcPr>
            <w:tcW w:w="1985" w:type="dxa"/>
            <w:vAlign w:val="bottom"/>
          </w:tcPr>
          <w:p w14:paraId="3FCA1319" w14:textId="49670318"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15,57 € </w:t>
            </w:r>
          </w:p>
        </w:tc>
        <w:tc>
          <w:tcPr>
            <w:tcW w:w="1843" w:type="dxa"/>
            <w:vAlign w:val="bottom"/>
          </w:tcPr>
          <w:p w14:paraId="691B4733" w14:textId="4DF1DB2E"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-2,0%</w:t>
            </w:r>
          </w:p>
        </w:tc>
        <w:tc>
          <w:tcPr>
            <w:tcW w:w="1701" w:type="dxa"/>
            <w:vAlign w:val="bottom"/>
          </w:tcPr>
          <w:p w14:paraId="56874FA9" w14:textId="06ED8233"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-4,1%</w:t>
            </w:r>
          </w:p>
        </w:tc>
      </w:tr>
      <w:tr w:rsidR="00036F11" w:rsidRPr="00E76242" w14:paraId="61309F8F" w14:textId="77777777" w:rsidTr="0007689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DA76B78" w14:textId="0B5F9896"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Barcelona</w:t>
            </w:r>
          </w:p>
        </w:tc>
        <w:tc>
          <w:tcPr>
            <w:tcW w:w="2404" w:type="dxa"/>
            <w:vAlign w:val="bottom"/>
          </w:tcPr>
          <w:p w14:paraId="0AD2B170" w14:textId="19244A50" w:rsidR="00036F11" w:rsidRPr="00036F11" w:rsidRDefault="00036F11" w:rsidP="00036F11">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Gavà</w:t>
            </w:r>
          </w:p>
        </w:tc>
        <w:tc>
          <w:tcPr>
            <w:tcW w:w="1985" w:type="dxa"/>
            <w:vAlign w:val="bottom"/>
          </w:tcPr>
          <w:p w14:paraId="5B2F1E9E" w14:textId="3D916690"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15,49 € </w:t>
            </w:r>
          </w:p>
        </w:tc>
        <w:tc>
          <w:tcPr>
            <w:tcW w:w="1843" w:type="dxa"/>
            <w:vAlign w:val="bottom"/>
          </w:tcPr>
          <w:p w14:paraId="4FEDDD2B" w14:textId="5AECE686"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-0,4%</w:t>
            </w:r>
          </w:p>
        </w:tc>
        <w:tc>
          <w:tcPr>
            <w:tcW w:w="1701" w:type="dxa"/>
            <w:vAlign w:val="bottom"/>
          </w:tcPr>
          <w:p w14:paraId="734A9F66" w14:textId="3C56B635"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w:t>
            </w:r>
          </w:p>
        </w:tc>
      </w:tr>
      <w:tr w:rsidR="00036F11" w:rsidRPr="00E76242" w14:paraId="2936C11F" w14:textId="77777777" w:rsidTr="00076893">
        <w:trPr>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21660F83" w14:textId="5B0ECD2A"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Barcelona</w:t>
            </w:r>
          </w:p>
        </w:tc>
        <w:tc>
          <w:tcPr>
            <w:tcW w:w="2404" w:type="dxa"/>
            <w:vAlign w:val="bottom"/>
          </w:tcPr>
          <w:p w14:paraId="636DD0E8" w14:textId="2BF8C306" w:rsidR="00036F11" w:rsidRPr="00036F11" w:rsidRDefault="00036F11" w:rsidP="00036F11">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Castelldefels</w:t>
            </w:r>
          </w:p>
        </w:tc>
        <w:tc>
          <w:tcPr>
            <w:tcW w:w="1985" w:type="dxa"/>
            <w:vAlign w:val="bottom"/>
          </w:tcPr>
          <w:p w14:paraId="29B70A3C" w14:textId="332DD22E"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14,90 € </w:t>
            </w:r>
          </w:p>
        </w:tc>
        <w:tc>
          <w:tcPr>
            <w:tcW w:w="1843" w:type="dxa"/>
            <w:vAlign w:val="bottom"/>
          </w:tcPr>
          <w:p w14:paraId="06F43697" w14:textId="0FDC4287"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-2,2%</w:t>
            </w:r>
          </w:p>
        </w:tc>
        <w:tc>
          <w:tcPr>
            <w:tcW w:w="1701" w:type="dxa"/>
            <w:vAlign w:val="bottom"/>
          </w:tcPr>
          <w:p w14:paraId="61DEFE51" w14:textId="29F7F243"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-3,0%</w:t>
            </w:r>
          </w:p>
        </w:tc>
      </w:tr>
      <w:tr w:rsidR="00036F11" w:rsidRPr="00E76242" w14:paraId="5C558388" w14:textId="77777777" w:rsidTr="0007689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349B7FB4" w14:textId="24F12B32"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Barcelona</w:t>
            </w:r>
          </w:p>
        </w:tc>
        <w:tc>
          <w:tcPr>
            <w:tcW w:w="2404" w:type="dxa"/>
            <w:vAlign w:val="bottom"/>
          </w:tcPr>
          <w:p w14:paraId="4C7EF422" w14:textId="191C443B" w:rsidR="00036F11" w:rsidRPr="00036F11" w:rsidRDefault="00036F11" w:rsidP="00036F11">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Sant Cugat del Vallès</w:t>
            </w:r>
          </w:p>
        </w:tc>
        <w:tc>
          <w:tcPr>
            <w:tcW w:w="1985" w:type="dxa"/>
            <w:vAlign w:val="bottom"/>
          </w:tcPr>
          <w:p w14:paraId="06B8AF2E" w14:textId="673D5043"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14,55 € </w:t>
            </w:r>
          </w:p>
        </w:tc>
        <w:tc>
          <w:tcPr>
            <w:tcW w:w="1843" w:type="dxa"/>
            <w:vAlign w:val="bottom"/>
          </w:tcPr>
          <w:p w14:paraId="3D688ABA" w14:textId="5CA6CC6A"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1,2%</w:t>
            </w:r>
          </w:p>
        </w:tc>
        <w:tc>
          <w:tcPr>
            <w:tcW w:w="1701" w:type="dxa"/>
            <w:vAlign w:val="bottom"/>
          </w:tcPr>
          <w:p w14:paraId="6E9EDB42" w14:textId="523DC666" w:rsidR="00036F11" w:rsidRPr="00E76242" w:rsidRDefault="00036F11" w:rsidP="00036F11">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-7,2%</w:t>
            </w:r>
          </w:p>
        </w:tc>
      </w:tr>
      <w:tr w:rsidR="00036F11" w:rsidRPr="00E76242" w14:paraId="56DA8DDD" w14:textId="77777777" w:rsidTr="00076893">
        <w:trPr>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57A3EC3F" w14:textId="76711BFA"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Barcelona</w:t>
            </w:r>
          </w:p>
        </w:tc>
        <w:tc>
          <w:tcPr>
            <w:tcW w:w="2404" w:type="dxa"/>
            <w:vAlign w:val="bottom"/>
          </w:tcPr>
          <w:p w14:paraId="46AAFFAF" w14:textId="1D37B809" w:rsidR="00036F11" w:rsidRPr="00036F11" w:rsidRDefault="00036F11" w:rsidP="00036F11">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Sitges</w:t>
            </w:r>
          </w:p>
        </w:tc>
        <w:tc>
          <w:tcPr>
            <w:tcW w:w="1985" w:type="dxa"/>
            <w:vAlign w:val="bottom"/>
          </w:tcPr>
          <w:p w14:paraId="08FCB8E0" w14:textId="0784057D"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xml:space="preserve">    14,52 € </w:t>
            </w:r>
          </w:p>
        </w:tc>
        <w:tc>
          <w:tcPr>
            <w:tcW w:w="1843" w:type="dxa"/>
            <w:vAlign w:val="bottom"/>
          </w:tcPr>
          <w:p w14:paraId="291FAB67" w14:textId="3BE75AE0"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-4,2%</w:t>
            </w:r>
          </w:p>
        </w:tc>
        <w:tc>
          <w:tcPr>
            <w:tcW w:w="1701" w:type="dxa"/>
            <w:vAlign w:val="bottom"/>
          </w:tcPr>
          <w:p w14:paraId="3EFF4531" w14:textId="5A11227B"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-2,3%</w:t>
            </w:r>
          </w:p>
        </w:tc>
      </w:tr>
      <w:tr w:rsidR="00036F11" w:rsidRPr="00E76242" w14:paraId="3FC0EC8C" w14:textId="77777777" w:rsidTr="00076893">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198135FF" w14:textId="61D9B717"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Barcelona</w:t>
            </w:r>
          </w:p>
        </w:tc>
        <w:tc>
          <w:tcPr>
            <w:tcW w:w="2404" w:type="dxa"/>
            <w:vAlign w:val="bottom"/>
          </w:tcPr>
          <w:p w14:paraId="0D0141E5" w14:textId="769280F8" w:rsidR="00036F11" w:rsidRPr="00036F11" w:rsidRDefault="00036F11" w:rsidP="00036F11">
            <w:pP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L'Hospitalet de Llobregat</w:t>
            </w:r>
          </w:p>
        </w:tc>
        <w:tc>
          <w:tcPr>
            <w:tcW w:w="1985" w:type="dxa"/>
            <w:vAlign w:val="bottom"/>
          </w:tcPr>
          <w:p w14:paraId="42C32F98" w14:textId="569BF643"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14,09 € </w:t>
            </w:r>
          </w:p>
        </w:tc>
        <w:tc>
          <w:tcPr>
            <w:tcW w:w="1843" w:type="dxa"/>
            <w:vAlign w:val="bottom"/>
          </w:tcPr>
          <w:p w14:paraId="0449A1E5" w14:textId="0ACF8809"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-1,6%</w:t>
            </w:r>
          </w:p>
        </w:tc>
        <w:tc>
          <w:tcPr>
            <w:tcW w:w="1701" w:type="dxa"/>
            <w:vAlign w:val="bottom"/>
          </w:tcPr>
          <w:p w14:paraId="17D48E68" w14:textId="341D35C3" w:rsidR="00036F11" w:rsidRPr="00E76242" w:rsidRDefault="00036F11" w:rsidP="00036F1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4,4%</w:t>
            </w:r>
          </w:p>
        </w:tc>
      </w:tr>
      <w:tr w:rsidR="00036F11" w:rsidRPr="00E76242" w14:paraId="7A746E06" w14:textId="77777777" w:rsidTr="00076893">
        <w:trPr>
          <w:trHeight w:val="293"/>
        </w:trPr>
        <w:tc>
          <w:tcPr>
            <w:cnfStyle w:val="001000000000" w:firstRow="0" w:lastRow="0" w:firstColumn="1" w:lastColumn="0" w:oddVBand="0" w:evenVBand="0" w:oddHBand="0" w:evenHBand="0" w:firstRowFirstColumn="0" w:firstRowLastColumn="0" w:lastRowFirstColumn="0" w:lastRowLastColumn="0"/>
            <w:tcW w:w="1560" w:type="dxa"/>
            <w:vAlign w:val="bottom"/>
          </w:tcPr>
          <w:p w14:paraId="01847688" w14:textId="2D3F97F3" w:rsidR="00036F11" w:rsidRPr="00036F11" w:rsidRDefault="00036F11" w:rsidP="00036F11">
            <w:pPr>
              <w:rPr>
                <w:rFonts w:ascii="Open Sans" w:hAnsi="Open Sans" w:cs="Open Sans"/>
                <w:b w:val="0"/>
                <w:bCs w:val="0"/>
                <w:sz w:val="22"/>
                <w:szCs w:val="22"/>
              </w:rPr>
            </w:pPr>
            <w:r w:rsidRPr="00036F11">
              <w:rPr>
                <w:rFonts w:ascii="Open Sans" w:hAnsi="Open Sans" w:cs="Open Sans"/>
                <w:b w:val="0"/>
                <w:bCs w:val="0"/>
                <w:sz w:val="22"/>
                <w:szCs w:val="22"/>
              </w:rPr>
              <w:t>Illes Balears</w:t>
            </w:r>
          </w:p>
        </w:tc>
        <w:tc>
          <w:tcPr>
            <w:tcW w:w="2404" w:type="dxa"/>
            <w:vAlign w:val="bottom"/>
          </w:tcPr>
          <w:p w14:paraId="51C3E120" w14:textId="6A1C45BF" w:rsidR="00036F11" w:rsidRPr="00036F11" w:rsidRDefault="00036F11" w:rsidP="00036F11">
            <w:pP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036F11">
              <w:rPr>
                <w:rFonts w:ascii="Open Sans" w:hAnsi="Open Sans" w:cs="Open Sans"/>
                <w:sz w:val="22"/>
                <w:szCs w:val="22"/>
              </w:rPr>
              <w:t>Calvià</w:t>
            </w:r>
          </w:p>
        </w:tc>
        <w:tc>
          <w:tcPr>
            <w:tcW w:w="1985" w:type="dxa"/>
            <w:vAlign w:val="bottom"/>
          </w:tcPr>
          <w:p w14:paraId="5466D150" w14:textId="3E1F8C67"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sz w:val="22"/>
                <w:szCs w:val="22"/>
              </w:rPr>
              <w:t xml:space="preserve">    13,72 € </w:t>
            </w:r>
          </w:p>
        </w:tc>
        <w:tc>
          <w:tcPr>
            <w:tcW w:w="1843" w:type="dxa"/>
            <w:vAlign w:val="bottom"/>
          </w:tcPr>
          <w:p w14:paraId="62A0586C" w14:textId="28FB8D30"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-8,0%</w:t>
            </w:r>
          </w:p>
        </w:tc>
        <w:tc>
          <w:tcPr>
            <w:tcW w:w="1701" w:type="dxa"/>
            <w:vAlign w:val="bottom"/>
          </w:tcPr>
          <w:p w14:paraId="3C6D1DB2" w14:textId="029C2978" w:rsidR="00036F11" w:rsidRPr="00E76242" w:rsidRDefault="00036F11" w:rsidP="00036F1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 </w:t>
            </w:r>
          </w:p>
        </w:tc>
      </w:tr>
    </w:tbl>
    <w:p w14:paraId="02778A48" w14:textId="77777777" w:rsidR="00DD21D7" w:rsidRDefault="00DD21D7" w:rsidP="00DD21D7">
      <w:pPr>
        <w:spacing w:line="276" w:lineRule="auto"/>
        <w:ind w:right="-574"/>
        <w:rPr>
          <w:rFonts w:ascii="Open Sans Light" w:hAnsi="Open Sans Light" w:cs="Open Sans Light"/>
          <w:b/>
          <w:iCs/>
          <w:color w:val="303AB2"/>
          <w:sz w:val="28"/>
          <w:szCs w:val="22"/>
          <w:lang w:val="es-ES"/>
        </w:rPr>
      </w:pPr>
    </w:p>
    <w:p w14:paraId="2A1DABD3" w14:textId="19F2CE97" w:rsidR="00DD21D7" w:rsidRDefault="00D04A01" w:rsidP="00DD21D7">
      <w:pPr>
        <w:spacing w:line="276" w:lineRule="auto"/>
        <w:ind w:right="-574"/>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Distritos</w:t>
      </w:r>
      <w:r w:rsidR="00B03ABB">
        <w:rPr>
          <w:rFonts w:ascii="Open Sans Light" w:hAnsi="Open Sans Light" w:cs="Open Sans Light"/>
          <w:b/>
          <w:iCs/>
          <w:color w:val="303AB2"/>
          <w:sz w:val="28"/>
          <w:szCs w:val="22"/>
          <w:lang w:val="es-ES"/>
        </w:rPr>
        <w:t xml:space="preserve"> de Madrid </w:t>
      </w:r>
    </w:p>
    <w:p w14:paraId="58797F44" w14:textId="77777777" w:rsidR="006F2010" w:rsidRDefault="006F2010" w:rsidP="006F2010">
      <w:pPr>
        <w:ind w:right="-574"/>
        <w:rPr>
          <w:rFonts w:ascii="Open Sans Light" w:hAnsi="Open Sans Light" w:cs="Open Sans Light"/>
          <w:b/>
          <w:iCs/>
          <w:color w:val="303AB2"/>
          <w:sz w:val="28"/>
          <w:szCs w:val="22"/>
          <w:lang w:val="es-ES"/>
        </w:rPr>
      </w:pPr>
    </w:p>
    <w:p w14:paraId="4876E725" w14:textId="6DDD5BBD" w:rsidR="00401265" w:rsidRDefault="00DD5FB6" w:rsidP="00DD5FB6">
      <w:pPr>
        <w:spacing w:line="276" w:lineRule="auto"/>
        <w:ind w:right="-574"/>
        <w:jc w:val="both"/>
        <w:rPr>
          <w:rFonts w:ascii="Open Sans" w:hAnsi="Open Sans" w:cs="Open Sans"/>
          <w:color w:val="000000"/>
        </w:rPr>
      </w:pPr>
      <w:r>
        <w:rPr>
          <w:rFonts w:ascii="Open Sans" w:hAnsi="Open Sans" w:cs="Open Sans"/>
          <w:color w:val="000000"/>
        </w:rPr>
        <w:t xml:space="preserve">El precio del alquiler </w:t>
      </w:r>
      <w:r w:rsidR="00687C73">
        <w:rPr>
          <w:rFonts w:ascii="Open Sans" w:hAnsi="Open Sans" w:cs="Open Sans"/>
          <w:color w:val="000000"/>
        </w:rPr>
        <w:t>baja</w:t>
      </w:r>
      <w:r>
        <w:rPr>
          <w:rFonts w:ascii="Open Sans" w:hAnsi="Open Sans" w:cs="Open Sans"/>
          <w:color w:val="000000"/>
        </w:rPr>
        <w:t xml:space="preserve"> en </w:t>
      </w:r>
      <w:r w:rsidR="00687C73">
        <w:rPr>
          <w:rFonts w:ascii="Open Sans" w:hAnsi="Open Sans" w:cs="Open Sans"/>
          <w:color w:val="000000"/>
        </w:rPr>
        <w:t>1</w:t>
      </w:r>
      <w:r w:rsidR="00B370CF">
        <w:rPr>
          <w:rFonts w:ascii="Open Sans" w:hAnsi="Open Sans" w:cs="Open Sans"/>
          <w:color w:val="000000"/>
        </w:rPr>
        <w:t>6</w:t>
      </w:r>
      <w:r>
        <w:rPr>
          <w:rFonts w:ascii="Open Sans" w:hAnsi="Open Sans" w:cs="Open Sans"/>
          <w:color w:val="000000"/>
        </w:rPr>
        <w:t xml:space="preserve"> de lo</w:t>
      </w:r>
      <w:r w:rsidRPr="00DB7E4F">
        <w:rPr>
          <w:rFonts w:ascii="Open Sans" w:hAnsi="Open Sans" w:cs="Open Sans"/>
          <w:color w:val="000000"/>
        </w:rPr>
        <w:t xml:space="preserve">s </w:t>
      </w:r>
      <w:r w:rsidR="00B370CF">
        <w:rPr>
          <w:rFonts w:ascii="Open Sans" w:hAnsi="Open Sans" w:cs="Open Sans"/>
          <w:color w:val="000000"/>
        </w:rPr>
        <w:t xml:space="preserve">20 </w:t>
      </w:r>
      <w:r>
        <w:rPr>
          <w:rFonts w:ascii="Open Sans" w:hAnsi="Open Sans" w:cs="Open Sans"/>
          <w:color w:val="000000"/>
        </w:rPr>
        <w:t>distritos</w:t>
      </w:r>
      <w:r w:rsidRPr="00DB7E4F">
        <w:rPr>
          <w:rFonts w:ascii="Open Sans" w:hAnsi="Open Sans" w:cs="Open Sans"/>
          <w:color w:val="000000"/>
        </w:rPr>
        <w:t xml:space="preserve"> </w:t>
      </w:r>
      <w:r>
        <w:rPr>
          <w:rFonts w:ascii="Open Sans" w:hAnsi="Open Sans" w:cs="Open Sans"/>
          <w:color w:val="000000"/>
        </w:rPr>
        <w:t xml:space="preserve">con variación mensual en </w:t>
      </w:r>
      <w:r w:rsidRPr="000A7FC6">
        <w:rPr>
          <w:rFonts w:ascii="Open Sans" w:hAnsi="Open Sans" w:cs="Open Sans"/>
          <w:color w:val="000000"/>
        </w:rPr>
        <w:t>Madrid</w:t>
      </w:r>
      <w:r>
        <w:rPr>
          <w:rFonts w:ascii="Open Sans" w:hAnsi="Open Sans" w:cs="Open Sans"/>
          <w:color w:val="000000"/>
        </w:rPr>
        <w:t xml:space="preserve">. El distrito con el mayor </w:t>
      </w:r>
      <w:r w:rsidR="00687C73">
        <w:rPr>
          <w:rFonts w:ascii="Open Sans" w:hAnsi="Open Sans" w:cs="Open Sans"/>
          <w:color w:val="000000"/>
        </w:rPr>
        <w:t>descenso</w:t>
      </w:r>
      <w:r>
        <w:rPr>
          <w:rFonts w:ascii="Open Sans" w:hAnsi="Open Sans" w:cs="Open Sans"/>
          <w:color w:val="000000"/>
        </w:rPr>
        <w:t xml:space="preserve"> mensual es </w:t>
      </w:r>
      <w:r w:rsidR="00210B19" w:rsidRPr="00210B19">
        <w:rPr>
          <w:rFonts w:ascii="Open Sans" w:hAnsi="Open Sans" w:cs="Open Sans"/>
          <w:color w:val="000000"/>
        </w:rPr>
        <w:t xml:space="preserve">Latina </w:t>
      </w:r>
      <w:r w:rsidRPr="000C2F0F">
        <w:rPr>
          <w:rFonts w:ascii="Open Sans" w:hAnsi="Open Sans" w:cs="Open Sans"/>
          <w:color w:val="000000"/>
        </w:rPr>
        <w:t>(</w:t>
      </w:r>
      <w:r w:rsidR="00687C73">
        <w:rPr>
          <w:rFonts w:ascii="Open Sans" w:hAnsi="Open Sans" w:cs="Open Sans"/>
          <w:color w:val="000000"/>
        </w:rPr>
        <w:t>-</w:t>
      </w:r>
      <w:r w:rsidR="00210B19">
        <w:rPr>
          <w:rFonts w:ascii="Open Sans" w:hAnsi="Open Sans" w:cs="Open Sans"/>
          <w:color w:val="000000"/>
        </w:rPr>
        <w:t>5</w:t>
      </w:r>
      <w:r w:rsidR="00E8595A">
        <w:rPr>
          <w:rFonts w:ascii="Open Sans" w:hAnsi="Open Sans" w:cs="Open Sans"/>
          <w:color w:val="000000"/>
        </w:rPr>
        <w:t>,4</w:t>
      </w:r>
      <w:r w:rsidRPr="000C2F0F">
        <w:rPr>
          <w:rFonts w:ascii="Open Sans" w:hAnsi="Open Sans" w:cs="Open Sans"/>
          <w:color w:val="000000"/>
        </w:rPr>
        <w:t>%)</w:t>
      </w:r>
      <w:r w:rsidR="00555E5A">
        <w:rPr>
          <w:rFonts w:ascii="Open Sans" w:hAnsi="Open Sans" w:cs="Open Sans"/>
          <w:color w:val="000000"/>
        </w:rPr>
        <w:t xml:space="preserve">, seguida de </w:t>
      </w:r>
      <w:r w:rsidR="00E8595A">
        <w:rPr>
          <w:rFonts w:ascii="Open Sans" w:hAnsi="Open Sans" w:cs="Open Sans"/>
          <w:color w:val="000000"/>
        </w:rPr>
        <w:t>Tetuán</w:t>
      </w:r>
      <w:r w:rsidR="00210B19" w:rsidRPr="00210B19">
        <w:rPr>
          <w:rFonts w:ascii="Open Sans" w:hAnsi="Open Sans" w:cs="Open Sans"/>
          <w:color w:val="000000"/>
        </w:rPr>
        <w:t xml:space="preserve"> </w:t>
      </w:r>
      <w:r w:rsidR="00555E5A">
        <w:rPr>
          <w:rFonts w:ascii="Open Sans" w:hAnsi="Open Sans" w:cs="Open Sans"/>
          <w:color w:val="000000"/>
        </w:rPr>
        <w:t>(</w:t>
      </w:r>
      <w:r w:rsidR="00687C73">
        <w:rPr>
          <w:rFonts w:ascii="Open Sans" w:hAnsi="Open Sans" w:cs="Open Sans"/>
          <w:color w:val="000000"/>
        </w:rPr>
        <w:t>-</w:t>
      </w:r>
      <w:r w:rsidR="00E8595A">
        <w:rPr>
          <w:rFonts w:ascii="Open Sans" w:hAnsi="Open Sans" w:cs="Open Sans"/>
          <w:color w:val="000000"/>
        </w:rPr>
        <w:t>4,1</w:t>
      </w:r>
      <w:r w:rsidR="00555E5A">
        <w:rPr>
          <w:rFonts w:ascii="Open Sans" w:hAnsi="Open Sans" w:cs="Open Sans"/>
          <w:color w:val="000000"/>
        </w:rPr>
        <w:t xml:space="preserve">%), </w:t>
      </w:r>
      <w:r w:rsidR="00E8595A" w:rsidRPr="00E8595A">
        <w:rPr>
          <w:rFonts w:ascii="Open Sans" w:hAnsi="Open Sans" w:cs="Open Sans"/>
          <w:color w:val="000000"/>
        </w:rPr>
        <w:t xml:space="preserve">Usera </w:t>
      </w:r>
      <w:r w:rsidR="00555E5A">
        <w:rPr>
          <w:rFonts w:ascii="Open Sans" w:hAnsi="Open Sans" w:cs="Open Sans"/>
          <w:color w:val="000000"/>
        </w:rPr>
        <w:t>(</w:t>
      </w:r>
      <w:r w:rsidR="00687C73">
        <w:rPr>
          <w:rFonts w:ascii="Open Sans" w:hAnsi="Open Sans" w:cs="Open Sans"/>
          <w:color w:val="000000"/>
        </w:rPr>
        <w:t>-</w:t>
      </w:r>
      <w:r w:rsidR="00E8595A">
        <w:rPr>
          <w:rFonts w:ascii="Open Sans" w:hAnsi="Open Sans" w:cs="Open Sans"/>
          <w:color w:val="000000"/>
        </w:rPr>
        <w:t>3,8</w:t>
      </w:r>
      <w:r w:rsidR="00555E5A">
        <w:rPr>
          <w:rFonts w:ascii="Open Sans" w:hAnsi="Open Sans" w:cs="Open Sans"/>
          <w:color w:val="000000"/>
        </w:rPr>
        <w:t xml:space="preserve">%) y </w:t>
      </w:r>
      <w:r w:rsidR="00E8595A" w:rsidRPr="00E8595A">
        <w:rPr>
          <w:rFonts w:ascii="Open Sans" w:hAnsi="Open Sans" w:cs="Open Sans"/>
          <w:color w:val="000000"/>
        </w:rPr>
        <w:t xml:space="preserve">Moncloa </w:t>
      </w:r>
      <w:r w:rsidR="00941449">
        <w:rPr>
          <w:rFonts w:ascii="Open Sans" w:hAnsi="Open Sans" w:cs="Open Sans"/>
          <w:color w:val="000000"/>
        </w:rPr>
        <w:t>(</w:t>
      </w:r>
      <w:r w:rsidR="007557EE">
        <w:rPr>
          <w:rFonts w:ascii="Open Sans" w:hAnsi="Open Sans" w:cs="Open Sans"/>
          <w:color w:val="000000"/>
        </w:rPr>
        <w:t>-</w:t>
      </w:r>
      <w:r w:rsidR="00E8595A">
        <w:rPr>
          <w:rFonts w:ascii="Open Sans" w:hAnsi="Open Sans" w:cs="Open Sans"/>
          <w:color w:val="000000"/>
        </w:rPr>
        <w:t>3,5</w:t>
      </w:r>
      <w:r w:rsidR="00941449">
        <w:rPr>
          <w:rFonts w:ascii="Open Sans" w:hAnsi="Open Sans" w:cs="Open Sans"/>
          <w:color w:val="000000"/>
        </w:rPr>
        <w:t>%), entre otros. El</w:t>
      </w:r>
      <w:r>
        <w:rPr>
          <w:rFonts w:ascii="Open Sans" w:hAnsi="Open Sans" w:cs="Open Sans"/>
          <w:color w:val="000000"/>
        </w:rPr>
        <w:t xml:space="preserve"> distrito con </w:t>
      </w:r>
      <w:r w:rsidR="007557EE">
        <w:rPr>
          <w:rFonts w:ascii="Open Sans" w:hAnsi="Open Sans" w:cs="Open Sans"/>
          <w:color w:val="000000"/>
        </w:rPr>
        <w:t xml:space="preserve">mayor </w:t>
      </w:r>
      <w:r w:rsidR="00687C73">
        <w:rPr>
          <w:rFonts w:ascii="Open Sans" w:hAnsi="Open Sans" w:cs="Open Sans"/>
          <w:color w:val="000000"/>
        </w:rPr>
        <w:t>incremento mensual</w:t>
      </w:r>
      <w:r>
        <w:rPr>
          <w:rFonts w:ascii="Open Sans" w:hAnsi="Open Sans" w:cs="Open Sans"/>
          <w:color w:val="000000"/>
        </w:rPr>
        <w:t xml:space="preserve"> </w:t>
      </w:r>
      <w:r w:rsidR="007557EE">
        <w:rPr>
          <w:rFonts w:ascii="Open Sans" w:hAnsi="Open Sans" w:cs="Open Sans"/>
          <w:color w:val="000000"/>
        </w:rPr>
        <w:t>es</w:t>
      </w:r>
      <w:r w:rsidR="00687C73">
        <w:rPr>
          <w:rFonts w:ascii="Open Sans" w:hAnsi="Open Sans" w:cs="Open Sans"/>
          <w:color w:val="000000"/>
        </w:rPr>
        <w:t xml:space="preserve"> </w:t>
      </w:r>
      <w:r w:rsidR="00E8595A" w:rsidRPr="00E8595A">
        <w:rPr>
          <w:rFonts w:ascii="Open Sans" w:hAnsi="Open Sans" w:cs="Open Sans"/>
          <w:color w:val="000000"/>
        </w:rPr>
        <w:t>Villa de Vallecas</w:t>
      </w:r>
      <w:r w:rsidR="00E8595A">
        <w:rPr>
          <w:rFonts w:ascii="Open Sans" w:hAnsi="Open Sans" w:cs="Open Sans"/>
          <w:color w:val="000000"/>
        </w:rPr>
        <w:t xml:space="preserve"> </w:t>
      </w:r>
      <w:r w:rsidR="007557EE">
        <w:rPr>
          <w:rFonts w:ascii="Open Sans" w:hAnsi="Open Sans" w:cs="Open Sans"/>
          <w:color w:val="000000"/>
        </w:rPr>
        <w:t xml:space="preserve">con </w:t>
      </w:r>
      <w:r w:rsidR="00E8595A">
        <w:rPr>
          <w:rFonts w:ascii="Open Sans" w:hAnsi="Open Sans" w:cs="Open Sans"/>
          <w:color w:val="000000"/>
        </w:rPr>
        <w:t>4</w:t>
      </w:r>
      <w:r w:rsidR="007557EE">
        <w:rPr>
          <w:rFonts w:ascii="Open Sans" w:hAnsi="Open Sans" w:cs="Open Sans"/>
          <w:color w:val="000000"/>
        </w:rPr>
        <w:t xml:space="preserve">%. </w:t>
      </w:r>
    </w:p>
    <w:p w14:paraId="7A3A22AA" w14:textId="77777777" w:rsidR="00401265" w:rsidRDefault="00401265" w:rsidP="00DD5FB6">
      <w:pPr>
        <w:spacing w:line="276" w:lineRule="auto"/>
        <w:ind w:right="-574"/>
        <w:jc w:val="both"/>
        <w:rPr>
          <w:rFonts w:ascii="Open Sans" w:hAnsi="Open Sans" w:cs="Open Sans"/>
          <w:color w:val="000000"/>
        </w:rPr>
      </w:pPr>
    </w:p>
    <w:p w14:paraId="02E81890" w14:textId="5483DB24" w:rsidR="007557EE" w:rsidRDefault="00DD5FB6" w:rsidP="00DD5FB6">
      <w:pPr>
        <w:spacing w:line="276" w:lineRule="auto"/>
        <w:ind w:right="-574"/>
        <w:jc w:val="both"/>
        <w:rPr>
          <w:rFonts w:ascii="Open Sans" w:hAnsi="Open Sans" w:cs="Open Sans"/>
          <w:color w:val="000000"/>
        </w:rPr>
      </w:pPr>
      <w:r>
        <w:rPr>
          <w:rFonts w:ascii="Open Sans" w:hAnsi="Open Sans" w:cs="Open Sans"/>
          <w:color w:val="000000"/>
        </w:rPr>
        <w:t xml:space="preserve">En cuanto al precio por metro cuadrado, </w:t>
      </w:r>
      <w:r w:rsidR="007557EE">
        <w:rPr>
          <w:rFonts w:ascii="Open Sans" w:hAnsi="Open Sans" w:cs="Open Sans"/>
          <w:color w:val="000000"/>
        </w:rPr>
        <w:t xml:space="preserve">los </w:t>
      </w:r>
      <w:r w:rsidR="00210B19">
        <w:rPr>
          <w:rFonts w:ascii="Open Sans" w:hAnsi="Open Sans" w:cs="Open Sans"/>
          <w:color w:val="000000"/>
        </w:rPr>
        <w:t>ocho</w:t>
      </w:r>
      <w:r w:rsidR="007557EE">
        <w:rPr>
          <w:rFonts w:ascii="Open Sans" w:hAnsi="Open Sans" w:cs="Open Sans"/>
          <w:color w:val="000000"/>
        </w:rPr>
        <w:t xml:space="preserve"> distritos analizados tienen un precio por encima de los 1</w:t>
      </w:r>
      <w:r w:rsidR="00210B19">
        <w:rPr>
          <w:rFonts w:ascii="Open Sans" w:hAnsi="Open Sans" w:cs="Open Sans"/>
          <w:color w:val="000000"/>
        </w:rPr>
        <w:t>5</w:t>
      </w:r>
      <w:r w:rsidR="007557EE">
        <w:rPr>
          <w:rFonts w:ascii="Open Sans" w:hAnsi="Open Sans" w:cs="Open Sans"/>
          <w:color w:val="000000"/>
        </w:rPr>
        <w:t xml:space="preserve">,00 </w:t>
      </w:r>
      <w:r w:rsidR="007557EE" w:rsidRPr="006D0120">
        <w:rPr>
          <w:rFonts w:ascii="Open Sans" w:hAnsi="Open Sans" w:cs="Open Sans"/>
          <w:color w:val="000000"/>
        </w:rPr>
        <w:t>€/m</w:t>
      </w:r>
      <w:r w:rsidR="007557EE" w:rsidRPr="006D0120">
        <w:rPr>
          <w:rFonts w:ascii="Open Sans" w:hAnsi="Open Sans" w:cs="Open Sans"/>
          <w:color w:val="000000"/>
          <w:vertAlign w:val="superscript"/>
        </w:rPr>
        <w:t>2</w:t>
      </w:r>
      <w:r w:rsidR="007557EE">
        <w:rPr>
          <w:rFonts w:ascii="Open Sans" w:hAnsi="Open Sans" w:cs="Open Sans"/>
          <w:color w:val="000000"/>
          <w:vertAlign w:val="superscript"/>
        </w:rPr>
        <w:t xml:space="preserve"> </w:t>
      </w:r>
      <w:r w:rsidR="007557EE" w:rsidRPr="00A1719F">
        <w:rPr>
          <w:rFonts w:ascii="Open Sans" w:hAnsi="Open Sans" w:cs="Open Sans"/>
          <w:color w:val="000000"/>
        </w:rPr>
        <w:t>al mes</w:t>
      </w:r>
      <w:r w:rsidR="007557EE">
        <w:rPr>
          <w:rFonts w:ascii="Open Sans" w:hAnsi="Open Sans" w:cs="Open Sans"/>
          <w:color w:val="000000"/>
        </w:rPr>
        <w:t>. E</w:t>
      </w:r>
      <w:r>
        <w:rPr>
          <w:rFonts w:ascii="Open Sans" w:hAnsi="Open Sans" w:cs="Open Sans"/>
          <w:color w:val="000000"/>
        </w:rPr>
        <w:t xml:space="preserve">l distrito </w:t>
      </w:r>
      <w:r w:rsidR="007557EE">
        <w:rPr>
          <w:rFonts w:ascii="Open Sans" w:hAnsi="Open Sans" w:cs="Open Sans"/>
          <w:color w:val="000000"/>
        </w:rPr>
        <w:t>más caro para vivir en alquiler es Salamanca con 18,</w:t>
      </w:r>
      <w:r w:rsidR="00E8595A">
        <w:rPr>
          <w:rFonts w:ascii="Open Sans" w:hAnsi="Open Sans" w:cs="Open Sans"/>
          <w:color w:val="000000"/>
        </w:rPr>
        <w:t>04</w:t>
      </w:r>
      <w:r w:rsidR="007557EE">
        <w:rPr>
          <w:rFonts w:ascii="Open Sans" w:hAnsi="Open Sans" w:cs="Open Sans"/>
          <w:color w:val="000000"/>
        </w:rPr>
        <w:t xml:space="preserve"> </w:t>
      </w:r>
      <w:r w:rsidR="007557EE" w:rsidRPr="006D0120">
        <w:rPr>
          <w:rFonts w:ascii="Open Sans" w:hAnsi="Open Sans" w:cs="Open Sans"/>
          <w:color w:val="000000"/>
        </w:rPr>
        <w:t>€/m</w:t>
      </w:r>
      <w:r w:rsidR="007557EE" w:rsidRPr="006D0120">
        <w:rPr>
          <w:rFonts w:ascii="Open Sans" w:hAnsi="Open Sans" w:cs="Open Sans"/>
          <w:color w:val="000000"/>
          <w:vertAlign w:val="superscript"/>
        </w:rPr>
        <w:t>2</w:t>
      </w:r>
      <w:r w:rsidR="007557EE">
        <w:rPr>
          <w:rFonts w:ascii="Open Sans" w:hAnsi="Open Sans" w:cs="Open Sans"/>
          <w:color w:val="000000"/>
          <w:vertAlign w:val="superscript"/>
        </w:rPr>
        <w:t xml:space="preserve"> </w:t>
      </w:r>
      <w:r w:rsidR="007557EE" w:rsidRPr="00A1719F">
        <w:rPr>
          <w:rFonts w:ascii="Open Sans" w:hAnsi="Open Sans" w:cs="Open Sans"/>
          <w:color w:val="000000"/>
        </w:rPr>
        <w:t>al mes</w:t>
      </w:r>
      <w:r w:rsidR="007557EE">
        <w:rPr>
          <w:rFonts w:ascii="Open Sans" w:hAnsi="Open Sans" w:cs="Open Sans"/>
          <w:color w:val="000000"/>
        </w:rPr>
        <w:t xml:space="preserve">, seguido de Centro con </w:t>
      </w:r>
      <w:r w:rsidR="00E8595A">
        <w:rPr>
          <w:rFonts w:ascii="Open Sans" w:hAnsi="Open Sans" w:cs="Open Sans"/>
          <w:color w:val="000000"/>
        </w:rPr>
        <w:t>17,45</w:t>
      </w:r>
      <w:r w:rsidR="007557EE">
        <w:rPr>
          <w:rFonts w:ascii="Open Sans" w:hAnsi="Open Sans" w:cs="Open Sans"/>
          <w:color w:val="000000"/>
        </w:rPr>
        <w:t xml:space="preserve"> </w:t>
      </w:r>
      <w:r w:rsidR="007557EE" w:rsidRPr="006D0120">
        <w:rPr>
          <w:rFonts w:ascii="Open Sans" w:hAnsi="Open Sans" w:cs="Open Sans"/>
          <w:color w:val="000000"/>
        </w:rPr>
        <w:t>€/m</w:t>
      </w:r>
      <w:r w:rsidR="007557EE" w:rsidRPr="006D0120">
        <w:rPr>
          <w:rFonts w:ascii="Open Sans" w:hAnsi="Open Sans" w:cs="Open Sans"/>
          <w:color w:val="000000"/>
          <w:vertAlign w:val="superscript"/>
        </w:rPr>
        <w:t>2</w:t>
      </w:r>
      <w:r w:rsidR="007557EE">
        <w:rPr>
          <w:rFonts w:ascii="Open Sans" w:hAnsi="Open Sans" w:cs="Open Sans"/>
          <w:color w:val="000000"/>
          <w:vertAlign w:val="superscript"/>
        </w:rPr>
        <w:t xml:space="preserve"> </w:t>
      </w:r>
      <w:r w:rsidR="007557EE" w:rsidRPr="00A1719F">
        <w:rPr>
          <w:rFonts w:ascii="Open Sans" w:hAnsi="Open Sans" w:cs="Open Sans"/>
          <w:color w:val="000000"/>
        </w:rPr>
        <w:t>al mes</w:t>
      </w:r>
      <w:r w:rsidR="007557EE">
        <w:rPr>
          <w:rFonts w:ascii="Open Sans" w:hAnsi="Open Sans" w:cs="Open Sans"/>
          <w:color w:val="000000"/>
        </w:rPr>
        <w:t xml:space="preserve"> y Chamberí con </w:t>
      </w:r>
      <w:r w:rsidR="00210B19">
        <w:rPr>
          <w:rFonts w:ascii="Open Sans" w:hAnsi="Open Sans" w:cs="Open Sans"/>
          <w:color w:val="000000"/>
        </w:rPr>
        <w:t>17,</w:t>
      </w:r>
      <w:r w:rsidR="00E8595A">
        <w:rPr>
          <w:rFonts w:ascii="Open Sans" w:hAnsi="Open Sans" w:cs="Open Sans"/>
          <w:color w:val="000000"/>
        </w:rPr>
        <w:t>38</w:t>
      </w:r>
      <w:r w:rsidR="007557EE">
        <w:rPr>
          <w:rFonts w:ascii="Open Sans" w:hAnsi="Open Sans" w:cs="Open Sans"/>
          <w:color w:val="000000"/>
        </w:rPr>
        <w:t xml:space="preserve"> </w:t>
      </w:r>
      <w:r w:rsidR="007557EE" w:rsidRPr="006D0120">
        <w:rPr>
          <w:rFonts w:ascii="Open Sans" w:hAnsi="Open Sans" w:cs="Open Sans"/>
          <w:color w:val="000000"/>
        </w:rPr>
        <w:t>€/m</w:t>
      </w:r>
      <w:r w:rsidR="007557EE" w:rsidRPr="006D0120">
        <w:rPr>
          <w:rFonts w:ascii="Open Sans" w:hAnsi="Open Sans" w:cs="Open Sans"/>
          <w:color w:val="000000"/>
          <w:vertAlign w:val="superscript"/>
        </w:rPr>
        <w:t>2</w:t>
      </w:r>
      <w:r w:rsidR="007557EE">
        <w:rPr>
          <w:rFonts w:ascii="Open Sans" w:hAnsi="Open Sans" w:cs="Open Sans"/>
          <w:color w:val="000000"/>
          <w:vertAlign w:val="superscript"/>
        </w:rPr>
        <w:t xml:space="preserve"> </w:t>
      </w:r>
      <w:r w:rsidR="007557EE" w:rsidRPr="00A1719F">
        <w:rPr>
          <w:rFonts w:ascii="Open Sans" w:hAnsi="Open Sans" w:cs="Open Sans"/>
          <w:color w:val="000000"/>
        </w:rPr>
        <w:t>al mes</w:t>
      </w:r>
      <w:r w:rsidR="007557EE">
        <w:rPr>
          <w:rFonts w:ascii="Open Sans" w:hAnsi="Open Sans" w:cs="Open Sans"/>
          <w:color w:val="000000"/>
        </w:rPr>
        <w:t xml:space="preserve">. Por otro lado, el distrito más económico de todos los estudiados es </w:t>
      </w:r>
      <w:r w:rsidR="00E8595A" w:rsidRPr="00E8595A">
        <w:rPr>
          <w:rFonts w:ascii="Open Sans" w:hAnsi="Open Sans" w:cs="Open Sans"/>
          <w:color w:val="000000"/>
        </w:rPr>
        <w:t>Vicálvaro</w:t>
      </w:r>
      <w:r w:rsidR="00E8595A">
        <w:rPr>
          <w:rFonts w:ascii="Open Sans" w:hAnsi="Open Sans" w:cs="Open Sans"/>
          <w:color w:val="000000"/>
        </w:rPr>
        <w:t xml:space="preserve"> </w:t>
      </w:r>
      <w:r w:rsidR="007557EE">
        <w:rPr>
          <w:rFonts w:ascii="Open Sans" w:hAnsi="Open Sans" w:cs="Open Sans"/>
          <w:color w:val="000000"/>
        </w:rPr>
        <w:t xml:space="preserve">con </w:t>
      </w:r>
      <w:r w:rsidR="00E8595A">
        <w:rPr>
          <w:rFonts w:ascii="Open Sans" w:hAnsi="Open Sans" w:cs="Open Sans"/>
          <w:color w:val="000000"/>
        </w:rPr>
        <w:t>10,67</w:t>
      </w:r>
      <w:r w:rsidR="007557EE">
        <w:rPr>
          <w:rFonts w:ascii="Open Sans" w:hAnsi="Open Sans" w:cs="Open Sans"/>
          <w:color w:val="000000"/>
        </w:rPr>
        <w:t xml:space="preserve"> </w:t>
      </w:r>
      <w:r w:rsidR="007557EE" w:rsidRPr="006D0120">
        <w:rPr>
          <w:rFonts w:ascii="Open Sans" w:hAnsi="Open Sans" w:cs="Open Sans"/>
          <w:color w:val="000000"/>
        </w:rPr>
        <w:t>€/m</w:t>
      </w:r>
      <w:r w:rsidR="007557EE" w:rsidRPr="006D0120">
        <w:rPr>
          <w:rFonts w:ascii="Open Sans" w:hAnsi="Open Sans" w:cs="Open Sans"/>
          <w:color w:val="000000"/>
          <w:vertAlign w:val="superscript"/>
        </w:rPr>
        <w:t>2</w:t>
      </w:r>
      <w:r w:rsidR="007557EE">
        <w:rPr>
          <w:rFonts w:ascii="Open Sans" w:hAnsi="Open Sans" w:cs="Open Sans"/>
          <w:color w:val="000000"/>
          <w:vertAlign w:val="superscript"/>
        </w:rPr>
        <w:t xml:space="preserve"> </w:t>
      </w:r>
      <w:r w:rsidR="007557EE" w:rsidRPr="00A1719F">
        <w:rPr>
          <w:rFonts w:ascii="Open Sans" w:hAnsi="Open Sans" w:cs="Open Sans"/>
          <w:color w:val="000000"/>
        </w:rPr>
        <w:t>al mes</w:t>
      </w:r>
      <w:r w:rsidR="007557EE">
        <w:rPr>
          <w:rFonts w:ascii="Open Sans" w:hAnsi="Open Sans" w:cs="Open Sans"/>
          <w:color w:val="000000"/>
        </w:rPr>
        <w:t>.</w:t>
      </w:r>
    </w:p>
    <w:p w14:paraId="2553965B" w14:textId="77777777" w:rsidR="007557EE" w:rsidRDefault="007557EE" w:rsidP="00DD5FB6">
      <w:pPr>
        <w:spacing w:line="276" w:lineRule="auto"/>
        <w:ind w:right="-574"/>
        <w:jc w:val="both"/>
        <w:rPr>
          <w:rFonts w:ascii="Open Sans" w:hAnsi="Open Sans" w:cs="Open Sans"/>
          <w:color w:val="000000"/>
        </w:rPr>
      </w:pPr>
    </w:p>
    <w:p w14:paraId="49D313EC" w14:textId="64857FBD" w:rsidR="00DD5FB6" w:rsidRDefault="00927A70" w:rsidP="00DD5FB6">
      <w:pPr>
        <w:spacing w:line="276" w:lineRule="auto"/>
        <w:ind w:right="-574"/>
        <w:jc w:val="both"/>
        <w:rPr>
          <w:rFonts w:ascii="Open Sans" w:hAnsi="Open Sans" w:cs="Open Sans"/>
          <w:color w:val="000000"/>
        </w:rPr>
      </w:pPr>
      <w:r>
        <w:rPr>
          <w:rFonts w:ascii="Open Sans Light" w:hAnsi="Open Sans Light" w:cs="Open Sans Light"/>
          <w:b/>
          <w:iCs/>
          <w:color w:val="303AB2"/>
          <w:sz w:val="28"/>
          <w:szCs w:val="22"/>
        </w:rPr>
        <w:t xml:space="preserve">Distritos de Madrid con </w:t>
      </w:r>
      <w:r w:rsidR="00941004">
        <w:rPr>
          <w:rFonts w:ascii="Open Sans Light" w:hAnsi="Open Sans Light" w:cs="Open Sans Light"/>
          <w:b/>
          <w:iCs/>
          <w:color w:val="303AB2"/>
          <w:sz w:val="28"/>
          <w:szCs w:val="22"/>
        </w:rPr>
        <w:t>precio, variación mensual e interanual</w:t>
      </w:r>
    </w:p>
    <w:tbl>
      <w:tblPr>
        <w:tblStyle w:val="Tabladecuadrcula5oscura-nfasis11"/>
        <w:tblpPr w:leftFromText="141" w:rightFromText="141" w:vertAnchor="text" w:horzAnchor="margin" w:tblpX="-39" w:tblpY="137"/>
        <w:tblW w:w="8993" w:type="dxa"/>
        <w:tblLook w:val="04A0" w:firstRow="1" w:lastRow="0" w:firstColumn="1" w:lastColumn="0" w:noHBand="0" w:noVBand="1"/>
      </w:tblPr>
      <w:tblGrid>
        <w:gridCol w:w="2405"/>
        <w:gridCol w:w="2552"/>
        <w:gridCol w:w="2126"/>
        <w:gridCol w:w="1910"/>
      </w:tblGrid>
      <w:tr w:rsidR="00927A70" w:rsidRPr="00210B19" w14:paraId="74101E62" w14:textId="77777777" w:rsidTr="00561181">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8A84940" w14:textId="37A21AB1" w:rsidR="00927A70" w:rsidRPr="00210B19" w:rsidRDefault="00927A70" w:rsidP="00607C0B">
            <w:pPr>
              <w:rPr>
                <w:rFonts w:ascii="Open Sans" w:hAnsi="Open Sans" w:cs="Open Sans"/>
                <w:b w:val="0"/>
                <w:bCs w:val="0"/>
                <w:sz w:val="22"/>
                <w:szCs w:val="22"/>
                <w:lang w:val="es-ES"/>
              </w:rPr>
            </w:pPr>
            <w:r w:rsidRPr="00210B19">
              <w:rPr>
                <w:rFonts w:ascii="Open Sans" w:hAnsi="Open Sans" w:cs="Open Sans"/>
                <w:b w:val="0"/>
                <w:bCs w:val="0"/>
                <w:iCs/>
                <w:sz w:val="22"/>
                <w:szCs w:val="22"/>
                <w:lang w:val="es-ES"/>
              </w:rPr>
              <w:t>Municipio</w:t>
            </w:r>
          </w:p>
        </w:tc>
        <w:tc>
          <w:tcPr>
            <w:tcW w:w="2552" w:type="dxa"/>
            <w:vAlign w:val="center"/>
          </w:tcPr>
          <w:p w14:paraId="3CC0AB87" w14:textId="71448D17" w:rsidR="00927A70" w:rsidRPr="00210B19" w:rsidRDefault="00561181" w:rsidP="00210B19">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Pr>
                <w:rFonts w:ascii="Open Sans" w:hAnsi="Open Sans" w:cs="Open Sans"/>
                <w:b w:val="0"/>
                <w:bCs w:val="0"/>
                <w:sz w:val="22"/>
                <w:szCs w:val="22"/>
                <w:lang w:val="es-ES"/>
              </w:rPr>
              <w:t>Octubre</w:t>
            </w:r>
            <w:r w:rsidR="00333462" w:rsidRPr="00210B19">
              <w:rPr>
                <w:rFonts w:ascii="Open Sans" w:hAnsi="Open Sans" w:cs="Open Sans"/>
                <w:b w:val="0"/>
                <w:bCs w:val="0"/>
                <w:sz w:val="22"/>
                <w:szCs w:val="22"/>
                <w:lang w:val="es-ES"/>
              </w:rPr>
              <w:t xml:space="preserve"> </w:t>
            </w:r>
            <w:r w:rsidR="00927A70" w:rsidRPr="00210B19">
              <w:rPr>
                <w:rFonts w:ascii="Open Sans" w:hAnsi="Open Sans" w:cs="Open Sans"/>
                <w:b w:val="0"/>
                <w:bCs w:val="0"/>
                <w:sz w:val="22"/>
                <w:szCs w:val="22"/>
                <w:lang w:val="es-ES"/>
              </w:rPr>
              <w:t>2020</w:t>
            </w:r>
            <w:r w:rsidR="00927A70" w:rsidRPr="00210B19">
              <w:rPr>
                <w:rFonts w:ascii="Open Sans" w:hAnsi="Open Sans" w:cs="Open Sans"/>
                <w:b w:val="0"/>
                <w:bCs w:val="0"/>
                <w:sz w:val="22"/>
                <w:szCs w:val="22"/>
                <w:lang w:val="es-ES"/>
              </w:rPr>
              <w:br/>
              <w:t>(€/m</w:t>
            </w:r>
            <w:r w:rsidR="00927A70" w:rsidRPr="00210B19">
              <w:rPr>
                <w:rFonts w:ascii="Open Sans" w:hAnsi="Open Sans" w:cs="Open Sans"/>
                <w:b w:val="0"/>
                <w:bCs w:val="0"/>
                <w:sz w:val="22"/>
                <w:szCs w:val="22"/>
                <w:vertAlign w:val="superscript"/>
                <w:lang w:val="es-ES"/>
              </w:rPr>
              <w:t xml:space="preserve">2 </w:t>
            </w:r>
            <w:r w:rsidR="00927A70" w:rsidRPr="00210B19">
              <w:rPr>
                <w:rFonts w:ascii="Open Sans" w:hAnsi="Open Sans" w:cs="Open Sans"/>
                <w:b w:val="0"/>
                <w:bCs w:val="0"/>
                <w:sz w:val="22"/>
                <w:szCs w:val="22"/>
                <w:lang w:val="es-ES"/>
              </w:rPr>
              <w:t>al mes</w:t>
            </w:r>
          </w:p>
        </w:tc>
        <w:tc>
          <w:tcPr>
            <w:tcW w:w="2126" w:type="dxa"/>
          </w:tcPr>
          <w:p w14:paraId="46812DBD" w14:textId="77777777" w:rsidR="00927A70" w:rsidRPr="00210B19" w:rsidRDefault="00927A70"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210B19">
              <w:rPr>
                <w:rFonts w:ascii="Open Sans" w:hAnsi="Open Sans" w:cs="Open Sans"/>
                <w:b w:val="0"/>
                <w:bCs w:val="0"/>
                <w:sz w:val="22"/>
                <w:szCs w:val="22"/>
                <w:lang w:val="es-ES"/>
              </w:rPr>
              <w:t>Variación</w:t>
            </w:r>
          </w:p>
          <w:p w14:paraId="64C48160" w14:textId="77777777" w:rsidR="00927A70" w:rsidRPr="00210B19" w:rsidRDefault="00927A70"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210B19">
              <w:rPr>
                <w:rFonts w:ascii="Open Sans" w:hAnsi="Open Sans" w:cs="Open Sans"/>
                <w:b w:val="0"/>
                <w:bCs w:val="0"/>
                <w:sz w:val="22"/>
                <w:szCs w:val="22"/>
                <w:lang w:val="es-ES"/>
              </w:rPr>
              <w:t>mensual (%)</w:t>
            </w:r>
          </w:p>
        </w:tc>
        <w:tc>
          <w:tcPr>
            <w:tcW w:w="1910" w:type="dxa"/>
          </w:tcPr>
          <w:p w14:paraId="61A43848" w14:textId="77777777" w:rsidR="00927A70" w:rsidRPr="00210B19" w:rsidRDefault="00927A70"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210B19">
              <w:rPr>
                <w:rFonts w:ascii="Open Sans" w:hAnsi="Open Sans" w:cs="Open Sans"/>
                <w:b w:val="0"/>
                <w:bCs w:val="0"/>
                <w:sz w:val="22"/>
                <w:szCs w:val="22"/>
                <w:lang w:val="es-ES"/>
              </w:rPr>
              <w:t>Variación interanual (%)</w:t>
            </w:r>
          </w:p>
        </w:tc>
      </w:tr>
      <w:tr w:rsidR="00561181" w:rsidRPr="00210B19" w14:paraId="143EE49E"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794A05FB" w14:textId="2209F046"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Latina</w:t>
            </w:r>
          </w:p>
        </w:tc>
        <w:tc>
          <w:tcPr>
            <w:tcW w:w="2552" w:type="dxa"/>
            <w:vAlign w:val="bottom"/>
          </w:tcPr>
          <w:p w14:paraId="27D46E17" w14:textId="4C307150"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12,28 €</w:t>
            </w:r>
          </w:p>
        </w:tc>
        <w:tc>
          <w:tcPr>
            <w:tcW w:w="2126" w:type="dxa"/>
            <w:vAlign w:val="bottom"/>
          </w:tcPr>
          <w:p w14:paraId="1B901E3B" w14:textId="1FF07FEC"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-5,4 %</w:t>
            </w:r>
          </w:p>
        </w:tc>
        <w:tc>
          <w:tcPr>
            <w:tcW w:w="1910" w:type="dxa"/>
            <w:vAlign w:val="bottom"/>
          </w:tcPr>
          <w:p w14:paraId="02E487EB" w14:textId="033A0FAD"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-8,8 %</w:t>
            </w:r>
          </w:p>
        </w:tc>
      </w:tr>
      <w:tr w:rsidR="00561181" w:rsidRPr="00210B19" w14:paraId="7352FCAA"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4BD53540" w14:textId="037A444E"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Tetuán</w:t>
            </w:r>
          </w:p>
        </w:tc>
        <w:tc>
          <w:tcPr>
            <w:tcW w:w="2552" w:type="dxa"/>
            <w:vAlign w:val="bottom"/>
          </w:tcPr>
          <w:p w14:paraId="4D68BD67" w14:textId="05D6B8F5"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15,35 €</w:t>
            </w:r>
          </w:p>
        </w:tc>
        <w:tc>
          <w:tcPr>
            <w:tcW w:w="2126" w:type="dxa"/>
            <w:vAlign w:val="bottom"/>
          </w:tcPr>
          <w:p w14:paraId="4636FA80" w14:textId="4CC62F17"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-4,1 %</w:t>
            </w:r>
          </w:p>
        </w:tc>
        <w:tc>
          <w:tcPr>
            <w:tcW w:w="1910" w:type="dxa"/>
            <w:vAlign w:val="bottom"/>
          </w:tcPr>
          <w:p w14:paraId="4634D16C" w14:textId="05CC44DF"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-7,3 %</w:t>
            </w:r>
          </w:p>
        </w:tc>
      </w:tr>
      <w:tr w:rsidR="00561181" w:rsidRPr="00210B19" w14:paraId="0B89643C"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51B3FD31" w14:textId="4B6669D3"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Usera</w:t>
            </w:r>
          </w:p>
        </w:tc>
        <w:tc>
          <w:tcPr>
            <w:tcW w:w="2552" w:type="dxa"/>
            <w:vAlign w:val="bottom"/>
          </w:tcPr>
          <w:p w14:paraId="01052F53" w14:textId="36A1AA52"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000000"/>
                <w:sz w:val="22"/>
                <w:szCs w:val="22"/>
              </w:rPr>
            </w:pPr>
            <w:r>
              <w:rPr>
                <w:rFonts w:ascii="Open Sans" w:hAnsi="Open Sans" w:cs="Open Sans"/>
                <w:color w:val="000000"/>
                <w:sz w:val="22"/>
                <w:szCs w:val="22"/>
              </w:rPr>
              <w:t>12,00 €</w:t>
            </w:r>
          </w:p>
        </w:tc>
        <w:tc>
          <w:tcPr>
            <w:tcW w:w="2126" w:type="dxa"/>
            <w:vAlign w:val="bottom"/>
          </w:tcPr>
          <w:p w14:paraId="3EF5338E" w14:textId="6D22FD79"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-3,8 %</w:t>
            </w:r>
          </w:p>
        </w:tc>
        <w:tc>
          <w:tcPr>
            <w:tcW w:w="1910" w:type="dxa"/>
            <w:vAlign w:val="bottom"/>
          </w:tcPr>
          <w:p w14:paraId="5FC7B576" w14:textId="5B120843"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-6,5 %</w:t>
            </w:r>
          </w:p>
        </w:tc>
      </w:tr>
      <w:tr w:rsidR="00561181" w:rsidRPr="00210B19" w14:paraId="6F48368A"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6E496093" w14:textId="37B49716"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Moncloa</w:t>
            </w:r>
          </w:p>
        </w:tc>
        <w:tc>
          <w:tcPr>
            <w:tcW w:w="2552" w:type="dxa"/>
            <w:vAlign w:val="bottom"/>
          </w:tcPr>
          <w:p w14:paraId="100AE2D0" w14:textId="42007925"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15,01 €</w:t>
            </w:r>
          </w:p>
        </w:tc>
        <w:tc>
          <w:tcPr>
            <w:tcW w:w="2126" w:type="dxa"/>
            <w:vAlign w:val="bottom"/>
          </w:tcPr>
          <w:p w14:paraId="0CABFF56" w14:textId="24FBA7F7"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-3,5 %</w:t>
            </w:r>
          </w:p>
        </w:tc>
        <w:tc>
          <w:tcPr>
            <w:tcW w:w="1910" w:type="dxa"/>
            <w:vAlign w:val="bottom"/>
          </w:tcPr>
          <w:p w14:paraId="3D6F3B71" w14:textId="4E84EB01"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-5,4 %</w:t>
            </w:r>
          </w:p>
        </w:tc>
      </w:tr>
      <w:tr w:rsidR="00561181" w:rsidRPr="00210B19" w14:paraId="36102E96"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406139D4" w14:textId="0F7A354B"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Centro</w:t>
            </w:r>
          </w:p>
        </w:tc>
        <w:tc>
          <w:tcPr>
            <w:tcW w:w="2552" w:type="dxa"/>
            <w:vAlign w:val="bottom"/>
          </w:tcPr>
          <w:p w14:paraId="6CF450DB" w14:textId="1FE83D47"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17,45 €</w:t>
            </w:r>
          </w:p>
        </w:tc>
        <w:tc>
          <w:tcPr>
            <w:tcW w:w="2126" w:type="dxa"/>
            <w:vAlign w:val="bottom"/>
          </w:tcPr>
          <w:p w14:paraId="73CECF67" w14:textId="7CAB7CE6"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-2,6 %</w:t>
            </w:r>
          </w:p>
        </w:tc>
        <w:tc>
          <w:tcPr>
            <w:tcW w:w="1910" w:type="dxa"/>
            <w:vAlign w:val="bottom"/>
          </w:tcPr>
          <w:p w14:paraId="5FF78758" w14:textId="0967AE09"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-7,4 %</w:t>
            </w:r>
          </w:p>
        </w:tc>
      </w:tr>
      <w:tr w:rsidR="00561181" w:rsidRPr="00210B19" w14:paraId="36A32475"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25D7EE63" w14:textId="6EAE73EC"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Retiro</w:t>
            </w:r>
          </w:p>
        </w:tc>
        <w:tc>
          <w:tcPr>
            <w:tcW w:w="2552" w:type="dxa"/>
            <w:vAlign w:val="bottom"/>
          </w:tcPr>
          <w:p w14:paraId="67E100CA" w14:textId="703B58F5"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15,51 €</w:t>
            </w:r>
          </w:p>
        </w:tc>
        <w:tc>
          <w:tcPr>
            <w:tcW w:w="2126" w:type="dxa"/>
            <w:vAlign w:val="bottom"/>
          </w:tcPr>
          <w:p w14:paraId="3DE82165" w14:textId="4622BCF6"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-2,5 %</w:t>
            </w:r>
          </w:p>
        </w:tc>
        <w:tc>
          <w:tcPr>
            <w:tcW w:w="1910" w:type="dxa"/>
            <w:vAlign w:val="bottom"/>
          </w:tcPr>
          <w:p w14:paraId="0D55FBA2" w14:textId="58FAE76E"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-4,4 %</w:t>
            </w:r>
          </w:p>
        </w:tc>
      </w:tr>
      <w:tr w:rsidR="00561181" w:rsidRPr="00210B19" w14:paraId="4DE3EADA"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2BBA7598" w14:textId="2927D4A9"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Barajas</w:t>
            </w:r>
          </w:p>
        </w:tc>
        <w:tc>
          <w:tcPr>
            <w:tcW w:w="2552" w:type="dxa"/>
            <w:vAlign w:val="bottom"/>
          </w:tcPr>
          <w:p w14:paraId="2B3E20EF" w14:textId="7331DDC2"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11,96 €</w:t>
            </w:r>
          </w:p>
        </w:tc>
        <w:tc>
          <w:tcPr>
            <w:tcW w:w="2126" w:type="dxa"/>
            <w:vAlign w:val="bottom"/>
          </w:tcPr>
          <w:p w14:paraId="09824D11" w14:textId="459680A2"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-2,0 %</w:t>
            </w:r>
          </w:p>
        </w:tc>
        <w:tc>
          <w:tcPr>
            <w:tcW w:w="1910" w:type="dxa"/>
            <w:vAlign w:val="bottom"/>
          </w:tcPr>
          <w:p w14:paraId="66D3294A" w14:textId="373738B1"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0,6 %</w:t>
            </w:r>
          </w:p>
        </w:tc>
      </w:tr>
      <w:tr w:rsidR="00561181" w:rsidRPr="00210B19" w14:paraId="47A060E4"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3BB58769" w14:textId="025DEB29"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Arganzuela</w:t>
            </w:r>
          </w:p>
        </w:tc>
        <w:tc>
          <w:tcPr>
            <w:tcW w:w="2552" w:type="dxa"/>
            <w:vAlign w:val="bottom"/>
          </w:tcPr>
          <w:p w14:paraId="3E18954C" w14:textId="5B34AD82"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15,43 €</w:t>
            </w:r>
          </w:p>
        </w:tc>
        <w:tc>
          <w:tcPr>
            <w:tcW w:w="2126" w:type="dxa"/>
            <w:vAlign w:val="bottom"/>
          </w:tcPr>
          <w:p w14:paraId="50244965" w14:textId="384763C2"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-1,8 %</w:t>
            </w:r>
          </w:p>
        </w:tc>
        <w:tc>
          <w:tcPr>
            <w:tcW w:w="1910" w:type="dxa"/>
            <w:vAlign w:val="bottom"/>
          </w:tcPr>
          <w:p w14:paraId="1B2077CB" w14:textId="72AD9589"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-5,0 %</w:t>
            </w:r>
          </w:p>
        </w:tc>
      </w:tr>
      <w:tr w:rsidR="00561181" w:rsidRPr="00210B19" w14:paraId="42E96E3B"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6EB1E2DE" w14:textId="42ECD872"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Carabanchel</w:t>
            </w:r>
          </w:p>
        </w:tc>
        <w:tc>
          <w:tcPr>
            <w:tcW w:w="2552" w:type="dxa"/>
            <w:vAlign w:val="bottom"/>
          </w:tcPr>
          <w:p w14:paraId="395948E6" w14:textId="587511D5"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12,44 €</w:t>
            </w:r>
          </w:p>
        </w:tc>
        <w:tc>
          <w:tcPr>
            <w:tcW w:w="2126" w:type="dxa"/>
            <w:vAlign w:val="bottom"/>
          </w:tcPr>
          <w:p w14:paraId="314E68E9" w14:textId="4BBB1561"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-1,3 %</w:t>
            </w:r>
          </w:p>
        </w:tc>
        <w:tc>
          <w:tcPr>
            <w:tcW w:w="1910" w:type="dxa"/>
            <w:vAlign w:val="bottom"/>
          </w:tcPr>
          <w:p w14:paraId="281B85D1" w14:textId="4604CED3"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-3,6 %</w:t>
            </w:r>
          </w:p>
        </w:tc>
      </w:tr>
      <w:tr w:rsidR="00561181" w:rsidRPr="00210B19" w14:paraId="7ADDB29B"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103695F8" w14:textId="776208D3"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Salamanca</w:t>
            </w:r>
          </w:p>
        </w:tc>
        <w:tc>
          <w:tcPr>
            <w:tcW w:w="2552" w:type="dxa"/>
            <w:vAlign w:val="bottom"/>
          </w:tcPr>
          <w:p w14:paraId="1923F7FA" w14:textId="3449CF43"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18,04 €</w:t>
            </w:r>
          </w:p>
        </w:tc>
        <w:tc>
          <w:tcPr>
            <w:tcW w:w="2126" w:type="dxa"/>
            <w:vAlign w:val="bottom"/>
          </w:tcPr>
          <w:p w14:paraId="13ED0418" w14:textId="49C282AA"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-1,3 %</w:t>
            </w:r>
          </w:p>
        </w:tc>
        <w:tc>
          <w:tcPr>
            <w:tcW w:w="1910" w:type="dxa"/>
            <w:vAlign w:val="bottom"/>
          </w:tcPr>
          <w:p w14:paraId="06C2D122" w14:textId="29B51C86"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-3,6 %</w:t>
            </w:r>
          </w:p>
        </w:tc>
      </w:tr>
      <w:tr w:rsidR="00561181" w:rsidRPr="00210B19" w14:paraId="6E98603C"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2619D96C" w14:textId="2AC3533F"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lastRenderedPageBreak/>
              <w:t>San Blas</w:t>
            </w:r>
          </w:p>
        </w:tc>
        <w:tc>
          <w:tcPr>
            <w:tcW w:w="2552" w:type="dxa"/>
            <w:vAlign w:val="bottom"/>
          </w:tcPr>
          <w:p w14:paraId="48B6DA7A" w14:textId="5214D323"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12,23 €</w:t>
            </w:r>
          </w:p>
        </w:tc>
        <w:tc>
          <w:tcPr>
            <w:tcW w:w="2126" w:type="dxa"/>
            <w:vAlign w:val="bottom"/>
          </w:tcPr>
          <w:p w14:paraId="29E856C9" w14:textId="2F9B30E6"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-1,1 %</w:t>
            </w:r>
          </w:p>
        </w:tc>
        <w:tc>
          <w:tcPr>
            <w:tcW w:w="1910" w:type="dxa"/>
            <w:vAlign w:val="bottom"/>
          </w:tcPr>
          <w:p w14:paraId="5156160A" w14:textId="42A9C7BD"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-0,2 %</w:t>
            </w:r>
          </w:p>
        </w:tc>
      </w:tr>
      <w:tr w:rsidR="00561181" w:rsidRPr="00210B19" w14:paraId="67E8B047"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66B0DF7F" w14:textId="7182908C"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Ciudad Lineal</w:t>
            </w:r>
          </w:p>
        </w:tc>
        <w:tc>
          <w:tcPr>
            <w:tcW w:w="2552" w:type="dxa"/>
            <w:vAlign w:val="bottom"/>
          </w:tcPr>
          <w:p w14:paraId="2A7AF529" w14:textId="5F8ADA93"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13,25 €</w:t>
            </w:r>
          </w:p>
        </w:tc>
        <w:tc>
          <w:tcPr>
            <w:tcW w:w="2126" w:type="dxa"/>
            <w:vAlign w:val="bottom"/>
          </w:tcPr>
          <w:p w14:paraId="4A1C008F" w14:textId="3B62975E"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-1,0 %</w:t>
            </w:r>
          </w:p>
        </w:tc>
        <w:tc>
          <w:tcPr>
            <w:tcW w:w="1910" w:type="dxa"/>
            <w:vAlign w:val="bottom"/>
          </w:tcPr>
          <w:p w14:paraId="2F4E3F8C" w14:textId="02EF44E7"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-2,8 %</w:t>
            </w:r>
          </w:p>
        </w:tc>
      </w:tr>
      <w:tr w:rsidR="00561181" w:rsidRPr="00210B19" w14:paraId="45D399FB"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64BF8C80" w14:textId="7431E55B"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Villaverde</w:t>
            </w:r>
          </w:p>
        </w:tc>
        <w:tc>
          <w:tcPr>
            <w:tcW w:w="2552" w:type="dxa"/>
            <w:vAlign w:val="bottom"/>
          </w:tcPr>
          <w:p w14:paraId="237DFC3E" w14:textId="5485FC02"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11,44 €</w:t>
            </w:r>
          </w:p>
        </w:tc>
        <w:tc>
          <w:tcPr>
            <w:tcW w:w="2126" w:type="dxa"/>
            <w:vAlign w:val="bottom"/>
          </w:tcPr>
          <w:p w14:paraId="3342A606" w14:textId="2E579CE8"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-0,6 %</w:t>
            </w:r>
          </w:p>
        </w:tc>
        <w:tc>
          <w:tcPr>
            <w:tcW w:w="1910" w:type="dxa"/>
            <w:vAlign w:val="bottom"/>
          </w:tcPr>
          <w:p w14:paraId="1EE8034E" w14:textId="6341DB8C" w:rsidR="00561181" w:rsidRPr="00210B19" w:rsidRDefault="007D6E8A"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t>
            </w:r>
          </w:p>
        </w:tc>
      </w:tr>
      <w:tr w:rsidR="00561181" w:rsidRPr="00210B19" w14:paraId="3FE220A6"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61C7196F" w14:textId="506B2BBE"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Chamartín</w:t>
            </w:r>
          </w:p>
        </w:tc>
        <w:tc>
          <w:tcPr>
            <w:tcW w:w="2552" w:type="dxa"/>
            <w:vAlign w:val="bottom"/>
          </w:tcPr>
          <w:p w14:paraId="2E279CB4" w14:textId="3155D91F"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16,35 €</w:t>
            </w:r>
          </w:p>
        </w:tc>
        <w:tc>
          <w:tcPr>
            <w:tcW w:w="2126" w:type="dxa"/>
            <w:vAlign w:val="bottom"/>
          </w:tcPr>
          <w:p w14:paraId="40B37604" w14:textId="605F3881"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-0,5 %</w:t>
            </w:r>
          </w:p>
        </w:tc>
        <w:tc>
          <w:tcPr>
            <w:tcW w:w="1910" w:type="dxa"/>
            <w:vAlign w:val="bottom"/>
          </w:tcPr>
          <w:p w14:paraId="3FC33C03" w14:textId="7F14930A"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-4,7 %</w:t>
            </w:r>
          </w:p>
        </w:tc>
      </w:tr>
      <w:tr w:rsidR="00561181" w:rsidRPr="00210B19" w14:paraId="0CE4BCB5"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610B46CF" w14:textId="766DF85B"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Chamberí</w:t>
            </w:r>
          </w:p>
        </w:tc>
        <w:tc>
          <w:tcPr>
            <w:tcW w:w="2552" w:type="dxa"/>
            <w:vAlign w:val="bottom"/>
          </w:tcPr>
          <w:p w14:paraId="08A8707C" w14:textId="0C38CE43"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17,38 €</w:t>
            </w:r>
          </w:p>
        </w:tc>
        <w:tc>
          <w:tcPr>
            <w:tcW w:w="2126" w:type="dxa"/>
            <w:vAlign w:val="bottom"/>
          </w:tcPr>
          <w:p w14:paraId="40EFED22" w14:textId="378F98CE"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-0,4 %</w:t>
            </w:r>
          </w:p>
        </w:tc>
        <w:tc>
          <w:tcPr>
            <w:tcW w:w="1910" w:type="dxa"/>
            <w:vAlign w:val="bottom"/>
          </w:tcPr>
          <w:p w14:paraId="4F691202" w14:textId="014F1A09"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-4,0 %</w:t>
            </w:r>
          </w:p>
        </w:tc>
      </w:tr>
      <w:tr w:rsidR="00561181" w:rsidRPr="00210B19" w14:paraId="0B8CBF71"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48952B3B" w14:textId="1A07464D"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Moratalaz</w:t>
            </w:r>
          </w:p>
        </w:tc>
        <w:tc>
          <w:tcPr>
            <w:tcW w:w="2552" w:type="dxa"/>
            <w:vAlign w:val="bottom"/>
          </w:tcPr>
          <w:p w14:paraId="1DA85D03" w14:textId="0C85D21A"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11,56 €</w:t>
            </w:r>
          </w:p>
        </w:tc>
        <w:tc>
          <w:tcPr>
            <w:tcW w:w="2126" w:type="dxa"/>
            <w:vAlign w:val="bottom"/>
          </w:tcPr>
          <w:p w14:paraId="5F05091D" w14:textId="55C134EF"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-0,3 %</w:t>
            </w:r>
          </w:p>
        </w:tc>
        <w:tc>
          <w:tcPr>
            <w:tcW w:w="1910" w:type="dxa"/>
            <w:vAlign w:val="bottom"/>
          </w:tcPr>
          <w:p w14:paraId="5F3B933F" w14:textId="70906AE4" w:rsidR="00561181" w:rsidRPr="00210B19" w:rsidRDefault="007D6E8A"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t>
            </w:r>
          </w:p>
        </w:tc>
      </w:tr>
      <w:tr w:rsidR="00561181" w:rsidRPr="00210B19" w14:paraId="28A6EA15"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31990694" w14:textId="18240100"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Puente de Vallecas</w:t>
            </w:r>
          </w:p>
        </w:tc>
        <w:tc>
          <w:tcPr>
            <w:tcW w:w="2552" w:type="dxa"/>
            <w:vAlign w:val="bottom"/>
          </w:tcPr>
          <w:p w14:paraId="569E1BE7" w14:textId="37253AEC"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12,15 €</w:t>
            </w:r>
          </w:p>
        </w:tc>
        <w:tc>
          <w:tcPr>
            <w:tcW w:w="2126" w:type="dxa"/>
            <w:vAlign w:val="bottom"/>
          </w:tcPr>
          <w:p w14:paraId="0AA15958" w14:textId="239394D1"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0,0 %</w:t>
            </w:r>
          </w:p>
        </w:tc>
        <w:tc>
          <w:tcPr>
            <w:tcW w:w="1910" w:type="dxa"/>
            <w:vAlign w:val="bottom"/>
          </w:tcPr>
          <w:p w14:paraId="6AED3213" w14:textId="5542A053"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-6,3 %</w:t>
            </w:r>
          </w:p>
        </w:tc>
      </w:tr>
      <w:tr w:rsidR="00561181" w:rsidRPr="00210B19" w14:paraId="2ED1359F"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266EDFC1" w14:textId="18B4B0FA"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Hortaleza</w:t>
            </w:r>
          </w:p>
        </w:tc>
        <w:tc>
          <w:tcPr>
            <w:tcW w:w="2552" w:type="dxa"/>
            <w:vAlign w:val="bottom"/>
          </w:tcPr>
          <w:p w14:paraId="068AA477" w14:textId="319E20EC"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13,46 €</w:t>
            </w:r>
          </w:p>
        </w:tc>
        <w:tc>
          <w:tcPr>
            <w:tcW w:w="2126" w:type="dxa"/>
            <w:vAlign w:val="bottom"/>
          </w:tcPr>
          <w:p w14:paraId="0FD4294C" w14:textId="393FDD90"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0,4 %</w:t>
            </w:r>
          </w:p>
        </w:tc>
        <w:tc>
          <w:tcPr>
            <w:tcW w:w="1910" w:type="dxa"/>
            <w:vAlign w:val="bottom"/>
          </w:tcPr>
          <w:p w14:paraId="594107B3" w14:textId="0D02BE31"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0,4 %</w:t>
            </w:r>
          </w:p>
        </w:tc>
      </w:tr>
      <w:tr w:rsidR="00561181" w:rsidRPr="00210B19" w14:paraId="34FBDE56"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2B02D534" w14:textId="0EE4F309"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Fuencarral</w:t>
            </w:r>
          </w:p>
        </w:tc>
        <w:tc>
          <w:tcPr>
            <w:tcW w:w="2552" w:type="dxa"/>
            <w:vAlign w:val="bottom"/>
          </w:tcPr>
          <w:p w14:paraId="26B9E776" w14:textId="32DD9F03"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13,10 €</w:t>
            </w:r>
          </w:p>
        </w:tc>
        <w:tc>
          <w:tcPr>
            <w:tcW w:w="2126" w:type="dxa"/>
            <w:vAlign w:val="bottom"/>
          </w:tcPr>
          <w:p w14:paraId="44F15CDA" w14:textId="6AADDF9E"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1,6 %</w:t>
            </w:r>
          </w:p>
        </w:tc>
        <w:tc>
          <w:tcPr>
            <w:tcW w:w="1910" w:type="dxa"/>
            <w:vAlign w:val="bottom"/>
          </w:tcPr>
          <w:p w14:paraId="7A83FFDE" w14:textId="6823EE72"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1,0 %</w:t>
            </w:r>
          </w:p>
        </w:tc>
      </w:tr>
      <w:tr w:rsidR="00561181" w:rsidRPr="00210B19" w14:paraId="49DDEB77" w14:textId="77777777" w:rsidTr="00927A70">
        <w:trPr>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1FD0C634" w14:textId="004C6A61"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Villa de Vallecas</w:t>
            </w:r>
          </w:p>
        </w:tc>
        <w:tc>
          <w:tcPr>
            <w:tcW w:w="2552" w:type="dxa"/>
            <w:vAlign w:val="bottom"/>
          </w:tcPr>
          <w:p w14:paraId="27506D1E" w14:textId="15B24628"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11,79 €</w:t>
            </w:r>
          </w:p>
        </w:tc>
        <w:tc>
          <w:tcPr>
            <w:tcW w:w="2126" w:type="dxa"/>
            <w:vAlign w:val="bottom"/>
          </w:tcPr>
          <w:p w14:paraId="5376E287" w14:textId="457F7CC8"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color w:val="9C0006"/>
                <w:sz w:val="22"/>
                <w:szCs w:val="22"/>
              </w:rPr>
            </w:pPr>
            <w:r>
              <w:rPr>
                <w:rFonts w:ascii="Open Sans" w:hAnsi="Open Sans" w:cs="Open Sans"/>
                <w:color w:val="000000"/>
                <w:sz w:val="22"/>
                <w:szCs w:val="22"/>
              </w:rPr>
              <w:t>4,0 %</w:t>
            </w:r>
          </w:p>
        </w:tc>
        <w:tc>
          <w:tcPr>
            <w:tcW w:w="1910" w:type="dxa"/>
            <w:vAlign w:val="bottom"/>
          </w:tcPr>
          <w:p w14:paraId="12DD2B97" w14:textId="46E2D7AD" w:rsidR="00561181" w:rsidRPr="00210B19" w:rsidRDefault="00561181" w:rsidP="00561181">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-0,4 %</w:t>
            </w:r>
          </w:p>
        </w:tc>
      </w:tr>
      <w:tr w:rsidR="00561181" w:rsidRPr="00210B19" w14:paraId="055D3586" w14:textId="77777777" w:rsidTr="00927A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05" w:type="dxa"/>
            <w:vAlign w:val="bottom"/>
          </w:tcPr>
          <w:p w14:paraId="619F0321" w14:textId="0E99B101" w:rsidR="00561181" w:rsidRPr="00561181" w:rsidRDefault="00561181" w:rsidP="00561181">
            <w:pPr>
              <w:rPr>
                <w:rFonts w:ascii="Open Sans" w:hAnsi="Open Sans" w:cs="Open Sans"/>
                <w:b w:val="0"/>
                <w:bCs w:val="0"/>
                <w:sz w:val="22"/>
                <w:szCs w:val="22"/>
              </w:rPr>
            </w:pPr>
            <w:r w:rsidRPr="00561181">
              <w:rPr>
                <w:rFonts w:ascii="Open Sans" w:hAnsi="Open Sans" w:cs="Open Sans"/>
                <w:b w:val="0"/>
                <w:bCs w:val="0"/>
                <w:sz w:val="22"/>
                <w:szCs w:val="22"/>
              </w:rPr>
              <w:t>Vicálvaro</w:t>
            </w:r>
          </w:p>
        </w:tc>
        <w:tc>
          <w:tcPr>
            <w:tcW w:w="2552" w:type="dxa"/>
            <w:vAlign w:val="bottom"/>
          </w:tcPr>
          <w:p w14:paraId="2C47ED18" w14:textId="188BB729"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10,67 €</w:t>
            </w:r>
          </w:p>
        </w:tc>
        <w:tc>
          <w:tcPr>
            <w:tcW w:w="2126" w:type="dxa"/>
            <w:vAlign w:val="bottom"/>
          </w:tcPr>
          <w:p w14:paraId="5E5F7EF8" w14:textId="0778EB95"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color w:val="9C0006"/>
                <w:sz w:val="22"/>
                <w:szCs w:val="22"/>
              </w:rPr>
            </w:pPr>
            <w:r>
              <w:rPr>
                <w:rFonts w:ascii="Open Sans" w:hAnsi="Open Sans" w:cs="Open Sans"/>
                <w:color w:val="9C0006"/>
                <w:sz w:val="22"/>
                <w:szCs w:val="22"/>
              </w:rPr>
              <w:t>-</w:t>
            </w:r>
          </w:p>
        </w:tc>
        <w:tc>
          <w:tcPr>
            <w:tcW w:w="1910" w:type="dxa"/>
            <w:vAlign w:val="bottom"/>
          </w:tcPr>
          <w:p w14:paraId="1096D45A" w14:textId="44F25D8A" w:rsidR="00561181" w:rsidRPr="00210B19" w:rsidRDefault="00561181" w:rsidP="00561181">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w:t>
            </w:r>
          </w:p>
        </w:tc>
      </w:tr>
    </w:tbl>
    <w:p w14:paraId="1E48692C" w14:textId="77777777" w:rsidR="000A772E" w:rsidRDefault="000A772E" w:rsidP="00D04A01">
      <w:pPr>
        <w:spacing w:line="276" w:lineRule="auto"/>
        <w:ind w:right="-574"/>
        <w:rPr>
          <w:rFonts w:ascii="Open Sans Light" w:hAnsi="Open Sans Light" w:cs="Open Sans Light"/>
          <w:b/>
          <w:iCs/>
          <w:color w:val="303AB2"/>
          <w:sz w:val="28"/>
          <w:szCs w:val="22"/>
          <w:lang w:val="es-ES"/>
        </w:rPr>
      </w:pPr>
    </w:p>
    <w:p w14:paraId="263DCF9D" w14:textId="34AAFA13" w:rsidR="00D04A01" w:rsidRDefault="00D04A01" w:rsidP="00D04A01">
      <w:pPr>
        <w:spacing w:line="276" w:lineRule="auto"/>
        <w:ind w:right="-574"/>
        <w:rPr>
          <w:rFonts w:ascii="Open Sans Light" w:hAnsi="Open Sans Light" w:cs="Open Sans Light"/>
          <w:b/>
          <w:iCs/>
          <w:color w:val="303AB2"/>
          <w:sz w:val="28"/>
          <w:szCs w:val="22"/>
          <w:lang w:val="es-ES"/>
        </w:rPr>
      </w:pPr>
      <w:r>
        <w:rPr>
          <w:rFonts w:ascii="Open Sans Light" w:hAnsi="Open Sans Light" w:cs="Open Sans Light"/>
          <w:b/>
          <w:iCs/>
          <w:color w:val="303AB2"/>
          <w:sz w:val="28"/>
          <w:szCs w:val="22"/>
          <w:lang w:val="es-ES"/>
        </w:rPr>
        <w:t xml:space="preserve">Distritos de Barcelona </w:t>
      </w:r>
    </w:p>
    <w:p w14:paraId="73599413" w14:textId="77777777" w:rsidR="00D04A01" w:rsidRDefault="00D04A01" w:rsidP="00DD5FB6">
      <w:pPr>
        <w:spacing w:line="276" w:lineRule="auto"/>
        <w:ind w:right="-574"/>
        <w:jc w:val="both"/>
        <w:rPr>
          <w:rFonts w:ascii="Open Sans" w:hAnsi="Open Sans" w:cs="Open Sans"/>
          <w:color w:val="000000"/>
        </w:rPr>
      </w:pPr>
    </w:p>
    <w:p w14:paraId="66B0D4C2" w14:textId="58FA06F8" w:rsidR="007D700D" w:rsidRDefault="00DD5FB6" w:rsidP="00C245ED">
      <w:pPr>
        <w:spacing w:line="276" w:lineRule="auto"/>
        <w:ind w:right="-574"/>
        <w:jc w:val="both"/>
        <w:rPr>
          <w:rFonts w:ascii="Open Sans" w:hAnsi="Open Sans" w:cs="Open Sans"/>
          <w:color w:val="000000"/>
        </w:rPr>
      </w:pPr>
      <w:r>
        <w:rPr>
          <w:rFonts w:ascii="Open Sans" w:hAnsi="Open Sans" w:cs="Open Sans"/>
          <w:color w:val="000000"/>
        </w:rPr>
        <w:t xml:space="preserve">El precio del alquiler </w:t>
      </w:r>
      <w:r w:rsidR="001A604D">
        <w:rPr>
          <w:rFonts w:ascii="Open Sans" w:hAnsi="Open Sans" w:cs="Open Sans"/>
          <w:color w:val="000000"/>
        </w:rPr>
        <w:t>baja</w:t>
      </w:r>
      <w:r>
        <w:rPr>
          <w:rFonts w:ascii="Open Sans" w:hAnsi="Open Sans" w:cs="Open Sans"/>
          <w:color w:val="000000"/>
        </w:rPr>
        <w:t xml:space="preserve"> </w:t>
      </w:r>
      <w:r w:rsidR="001A604D">
        <w:rPr>
          <w:rFonts w:ascii="Open Sans" w:hAnsi="Open Sans" w:cs="Open Sans"/>
          <w:color w:val="000000"/>
        </w:rPr>
        <w:t>en su</w:t>
      </w:r>
      <w:r>
        <w:rPr>
          <w:rFonts w:ascii="Open Sans" w:hAnsi="Open Sans" w:cs="Open Sans"/>
          <w:color w:val="000000"/>
        </w:rPr>
        <w:t xml:space="preserve"> variación mensual en </w:t>
      </w:r>
      <w:r w:rsidR="007D700D">
        <w:rPr>
          <w:rFonts w:ascii="Open Sans" w:hAnsi="Open Sans" w:cs="Open Sans"/>
          <w:color w:val="000000"/>
        </w:rPr>
        <w:t xml:space="preserve">nueve de los diez </w:t>
      </w:r>
      <w:r>
        <w:rPr>
          <w:rFonts w:ascii="Open Sans" w:hAnsi="Open Sans" w:cs="Open Sans"/>
          <w:color w:val="000000"/>
        </w:rPr>
        <w:t>distritos</w:t>
      </w:r>
      <w:r w:rsidRPr="00DB7E4F">
        <w:rPr>
          <w:rFonts w:ascii="Open Sans" w:hAnsi="Open Sans" w:cs="Open Sans"/>
          <w:color w:val="000000"/>
        </w:rPr>
        <w:t xml:space="preserve"> </w:t>
      </w:r>
      <w:r>
        <w:rPr>
          <w:rFonts w:ascii="Open Sans" w:hAnsi="Open Sans" w:cs="Open Sans"/>
          <w:color w:val="000000"/>
        </w:rPr>
        <w:t xml:space="preserve">de </w:t>
      </w:r>
      <w:r w:rsidRPr="000A7FC6">
        <w:rPr>
          <w:rFonts w:ascii="Open Sans" w:hAnsi="Open Sans" w:cs="Open Sans"/>
          <w:color w:val="000000"/>
        </w:rPr>
        <w:t>Barcelona</w:t>
      </w:r>
      <w:r>
        <w:rPr>
          <w:rFonts w:ascii="Open Sans" w:hAnsi="Open Sans" w:cs="Open Sans"/>
          <w:color w:val="000000"/>
        </w:rPr>
        <w:t xml:space="preserve">. </w:t>
      </w:r>
      <w:r w:rsidR="001A604D">
        <w:rPr>
          <w:rFonts w:ascii="Open Sans" w:hAnsi="Open Sans" w:cs="Open Sans"/>
          <w:color w:val="000000"/>
        </w:rPr>
        <w:t>El</w:t>
      </w:r>
      <w:r>
        <w:rPr>
          <w:rFonts w:ascii="Open Sans" w:hAnsi="Open Sans" w:cs="Open Sans"/>
          <w:color w:val="000000"/>
        </w:rPr>
        <w:t xml:space="preserve"> distrito con </w:t>
      </w:r>
      <w:r w:rsidR="001A604D">
        <w:rPr>
          <w:rFonts w:ascii="Open Sans" w:hAnsi="Open Sans" w:cs="Open Sans"/>
          <w:color w:val="000000"/>
        </w:rPr>
        <w:t>el mayor</w:t>
      </w:r>
      <w:r>
        <w:rPr>
          <w:rFonts w:ascii="Open Sans" w:hAnsi="Open Sans" w:cs="Open Sans"/>
          <w:color w:val="000000"/>
        </w:rPr>
        <w:t xml:space="preserve"> </w:t>
      </w:r>
      <w:r w:rsidR="001A604D">
        <w:rPr>
          <w:rFonts w:ascii="Open Sans" w:hAnsi="Open Sans" w:cs="Open Sans"/>
          <w:color w:val="000000"/>
        </w:rPr>
        <w:t>descenso</w:t>
      </w:r>
      <w:r>
        <w:rPr>
          <w:rFonts w:ascii="Open Sans" w:hAnsi="Open Sans" w:cs="Open Sans"/>
          <w:color w:val="000000"/>
        </w:rPr>
        <w:t xml:space="preserve"> mensual </w:t>
      </w:r>
      <w:r w:rsidR="001A604D">
        <w:rPr>
          <w:rFonts w:ascii="Open Sans" w:hAnsi="Open Sans" w:cs="Open Sans"/>
          <w:color w:val="000000"/>
        </w:rPr>
        <w:t xml:space="preserve">es </w:t>
      </w:r>
      <w:r w:rsidR="00C245ED" w:rsidRPr="00C245ED">
        <w:rPr>
          <w:rFonts w:ascii="Open Sans" w:hAnsi="Open Sans" w:cs="Open Sans"/>
          <w:color w:val="000000"/>
        </w:rPr>
        <w:t>Sant Martí</w:t>
      </w:r>
      <w:r w:rsidR="00C245ED">
        <w:rPr>
          <w:rFonts w:ascii="Open Sans" w:hAnsi="Open Sans" w:cs="Open Sans"/>
          <w:color w:val="000000"/>
        </w:rPr>
        <w:t xml:space="preserve"> (-</w:t>
      </w:r>
      <w:r w:rsidR="007D700D">
        <w:rPr>
          <w:rFonts w:ascii="Open Sans" w:hAnsi="Open Sans" w:cs="Open Sans"/>
          <w:color w:val="000000"/>
        </w:rPr>
        <w:t>4,7</w:t>
      </w:r>
      <w:r w:rsidR="00C245ED">
        <w:rPr>
          <w:rFonts w:ascii="Open Sans" w:hAnsi="Open Sans" w:cs="Open Sans"/>
          <w:color w:val="000000"/>
        </w:rPr>
        <w:t xml:space="preserve">%), </w:t>
      </w:r>
      <w:r w:rsidR="007D700D" w:rsidRPr="007D700D">
        <w:rPr>
          <w:rFonts w:ascii="Open Sans" w:hAnsi="Open Sans" w:cs="Open Sans"/>
          <w:color w:val="000000"/>
        </w:rPr>
        <w:t xml:space="preserve">Sant Andreu </w:t>
      </w:r>
      <w:r w:rsidR="00C245ED">
        <w:rPr>
          <w:rFonts w:ascii="Open Sans" w:hAnsi="Open Sans" w:cs="Open Sans"/>
          <w:color w:val="000000"/>
        </w:rPr>
        <w:t>(-</w:t>
      </w:r>
      <w:r w:rsidR="007D700D">
        <w:rPr>
          <w:rFonts w:ascii="Open Sans" w:hAnsi="Open Sans" w:cs="Open Sans"/>
          <w:color w:val="000000"/>
        </w:rPr>
        <w:t>4,6</w:t>
      </w:r>
      <w:r w:rsidR="00C245ED">
        <w:rPr>
          <w:rFonts w:ascii="Open Sans" w:hAnsi="Open Sans" w:cs="Open Sans"/>
          <w:color w:val="000000"/>
        </w:rPr>
        <w:t xml:space="preserve">%), </w:t>
      </w:r>
      <w:r w:rsidR="007D700D" w:rsidRPr="007D700D">
        <w:rPr>
          <w:rFonts w:ascii="Open Sans" w:hAnsi="Open Sans" w:cs="Open Sans"/>
          <w:color w:val="000000"/>
        </w:rPr>
        <w:t xml:space="preserve">Nou Barris </w:t>
      </w:r>
      <w:r w:rsidR="00C245ED">
        <w:rPr>
          <w:rFonts w:ascii="Open Sans" w:hAnsi="Open Sans" w:cs="Open Sans"/>
          <w:color w:val="000000"/>
        </w:rPr>
        <w:t>(-</w:t>
      </w:r>
      <w:r w:rsidR="007D700D">
        <w:rPr>
          <w:rFonts w:ascii="Open Sans" w:hAnsi="Open Sans" w:cs="Open Sans"/>
          <w:color w:val="000000"/>
        </w:rPr>
        <w:t>2,5</w:t>
      </w:r>
      <w:r w:rsidR="00C245ED">
        <w:rPr>
          <w:rFonts w:ascii="Open Sans" w:hAnsi="Open Sans" w:cs="Open Sans"/>
          <w:color w:val="000000"/>
        </w:rPr>
        <w:t xml:space="preserve">%), </w:t>
      </w:r>
      <w:r w:rsidR="007D700D" w:rsidRPr="007D700D">
        <w:rPr>
          <w:rFonts w:ascii="Open Sans" w:hAnsi="Open Sans" w:cs="Open Sans"/>
          <w:color w:val="000000"/>
        </w:rPr>
        <w:t xml:space="preserve">Sants - Montjuïc </w:t>
      </w:r>
      <w:r w:rsidR="00C245ED">
        <w:rPr>
          <w:rFonts w:ascii="Open Sans" w:hAnsi="Open Sans" w:cs="Open Sans"/>
          <w:color w:val="000000"/>
        </w:rPr>
        <w:t>(-</w:t>
      </w:r>
      <w:r w:rsidR="007D700D">
        <w:rPr>
          <w:rFonts w:ascii="Open Sans" w:hAnsi="Open Sans" w:cs="Open Sans"/>
          <w:color w:val="000000"/>
        </w:rPr>
        <w:t>2</w:t>
      </w:r>
      <w:r w:rsidR="00C245ED">
        <w:rPr>
          <w:rFonts w:ascii="Open Sans" w:hAnsi="Open Sans" w:cs="Open Sans"/>
          <w:color w:val="000000"/>
        </w:rPr>
        <w:t xml:space="preserve">,4%), </w:t>
      </w:r>
      <w:r w:rsidR="00C245ED" w:rsidRPr="00C245ED">
        <w:rPr>
          <w:rFonts w:ascii="Open Sans" w:hAnsi="Open Sans" w:cs="Open Sans"/>
          <w:color w:val="000000"/>
        </w:rPr>
        <w:t>Gràcia</w:t>
      </w:r>
      <w:r w:rsidR="00C245ED">
        <w:rPr>
          <w:rFonts w:ascii="Open Sans" w:hAnsi="Open Sans" w:cs="Open Sans"/>
          <w:color w:val="000000"/>
        </w:rPr>
        <w:t xml:space="preserve"> (-</w:t>
      </w:r>
      <w:r w:rsidR="007D700D">
        <w:rPr>
          <w:rFonts w:ascii="Open Sans" w:hAnsi="Open Sans" w:cs="Open Sans"/>
          <w:color w:val="000000"/>
        </w:rPr>
        <w:t>2</w:t>
      </w:r>
      <w:r w:rsidR="00C245ED">
        <w:rPr>
          <w:rFonts w:ascii="Open Sans" w:hAnsi="Open Sans" w:cs="Open Sans"/>
          <w:color w:val="000000"/>
        </w:rPr>
        <w:t xml:space="preserve">,2%) </w:t>
      </w:r>
      <w:r w:rsidR="007D700D" w:rsidRPr="007D700D">
        <w:rPr>
          <w:rFonts w:ascii="Open Sans" w:hAnsi="Open Sans" w:cs="Open Sans"/>
          <w:color w:val="000000"/>
        </w:rPr>
        <w:t>Les Corts</w:t>
      </w:r>
      <w:r w:rsidR="00C245ED">
        <w:rPr>
          <w:rFonts w:ascii="Open Sans" w:hAnsi="Open Sans" w:cs="Open Sans"/>
          <w:color w:val="000000"/>
        </w:rPr>
        <w:t xml:space="preserve"> (-</w:t>
      </w:r>
      <w:r w:rsidR="007D700D">
        <w:rPr>
          <w:rFonts w:ascii="Open Sans" w:hAnsi="Open Sans" w:cs="Open Sans"/>
          <w:color w:val="000000"/>
        </w:rPr>
        <w:t>2,2</w:t>
      </w:r>
      <w:r w:rsidR="00C245ED">
        <w:rPr>
          <w:rFonts w:ascii="Open Sans" w:hAnsi="Open Sans" w:cs="Open Sans"/>
          <w:color w:val="000000"/>
        </w:rPr>
        <w:t>%)</w:t>
      </w:r>
      <w:r w:rsidR="007D700D">
        <w:rPr>
          <w:rFonts w:ascii="Open Sans" w:hAnsi="Open Sans" w:cs="Open Sans"/>
          <w:color w:val="000000"/>
        </w:rPr>
        <w:t xml:space="preserve">, </w:t>
      </w:r>
      <w:r w:rsidR="007D700D" w:rsidRPr="007D700D">
        <w:rPr>
          <w:rFonts w:ascii="Open Sans" w:hAnsi="Open Sans" w:cs="Open Sans"/>
          <w:color w:val="000000"/>
        </w:rPr>
        <w:t>Ciutat Vella</w:t>
      </w:r>
      <w:r w:rsidR="007D700D">
        <w:rPr>
          <w:rFonts w:ascii="Open Sans" w:hAnsi="Open Sans" w:cs="Open Sans"/>
          <w:color w:val="000000"/>
        </w:rPr>
        <w:t xml:space="preserve"> (-2,1%), </w:t>
      </w:r>
      <w:r w:rsidR="007D700D" w:rsidRPr="007D700D">
        <w:rPr>
          <w:rFonts w:ascii="Open Sans" w:hAnsi="Open Sans" w:cs="Open Sans"/>
          <w:color w:val="000000"/>
        </w:rPr>
        <w:t>Eixample</w:t>
      </w:r>
      <w:r w:rsidR="007D700D">
        <w:rPr>
          <w:rFonts w:ascii="Open Sans" w:hAnsi="Open Sans" w:cs="Open Sans"/>
          <w:color w:val="000000"/>
        </w:rPr>
        <w:t xml:space="preserve"> (-1,9%) y </w:t>
      </w:r>
      <w:r w:rsidR="007D700D" w:rsidRPr="007D700D">
        <w:rPr>
          <w:rFonts w:ascii="Open Sans" w:hAnsi="Open Sans" w:cs="Open Sans"/>
          <w:color w:val="000000"/>
        </w:rPr>
        <w:t>Sarrià - Sant Gervasi</w:t>
      </w:r>
      <w:r w:rsidR="007D700D">
        <w:rPr>
          <w:rFonts w:ascii="Open Sans" w:hAnsi="Open Sans" w:cs="Open Sans"/>
          <w:color w:val="000000"/>
        </w:rPr>
        <w:t xml:space="preserve"> (-1,9%).</w:t>
      </w:r>
    </w:p>
    <w:p w14:paraId="0EAFE2D4" w14:textId="2BB55FF5" w:rsidR="007D700D" w:rsidRDefault="007D700D" w:rsidP="00C245ED">
      <w:pPr>
        <w:spacing w:line="276" w:lineRule="auto"/>
        <w:ind w:right="-574"/>
        <w:jc w:val="both"/>
        <w:rPr>
          <w:rFonts w:ascii="Open Sans" w:hAnsi="Open Sans" w:cs="Open Sans"/>
          <w:color w:val="000000"/>
        </w:rPr>
      </w:pPr>
      <w:r>
        <w:rPr>
          <w:rFonts w:ascii="Open Sans" w:hAnsi="Open Sans" w:cs="Open Sans"/>
          <w:color w:val="000000"/>
        </w:rPr>
        <w:t xml:space="preserve">Por otro lado, el único municipio que sube su variación mensual es </w:t>
      </w:r>
      <w:r w:rsidRPr="007D700D">
        <w:rPr>
          <w:rFonts w:ascii="Open Sans" w:hAnsi="Open Sans" w:cs="Open Sans"/>
          <w:color w:val="000000"/>
        </w:rPr>
        <w:t xml:space="preserve">Horta </w:t>
      </w:r>
      <w:r>
        <w:rPr>
          <w:rFonts w:ascii="Open Sans" w:hAnsi="Open Sans" w:cs="Open Sans"/>
          <w:color w:val="000000"/>
        </w:rPr>
        <w:t>–</w:t>
      </w:r>
      <w:r w:rsidRPr="007D700D">
        <w:rPr>
          <w:rFonts w:ascii="Open Sans" w:hAnsi="Open Sans" w:cs="Open Sans"/>
          <w:color w:val="000000"/>
        </w:rPr>
        <w:t xml:space="preserve"> Guinardó</w:t>
      </w:r>
      <w:r>
        <w:rPr>
          <w:rFonts w:ascii="Open Sans" w:hAnsi="Open Sans" w:cs="Open Sans"/>
          <w:color w:val="000000"/>
        </w:rPr>
        <w:t xml:space="preserve"> con un 0,4%.</w:t>
      </w:r>
    </w:p>
    <w:p w14:paraId="682EF8DE" w14:textId="6D0E45B2" w:rsidR="007D700D" w:rsidRDefault="007D700D" w:rsidP="00C245ED">
      <w:pPr>
        <w:spacing w:line="276" w:lineRule="auto"/>
        <w:ind w:right="-574"/>
        <w:jc w:val="both"/>
        <w:rPr>
          <w:rFonts w:ascii="Open Sans" w:hAnsi="Open Sans" w:cs="Open Sans"/>
          <w:color w:val="000000"/>
        </w:rPr>
      </w:pPr>
    </w:p>
    <w:p w14:paraId="469BC9C4" w14:textId="6DFAA130" w:rsidR="00DD21D7" w:rsidRDefault="00DD5FB6" w:rsidP="00DD5FB6">
      <w:pPr>
        <w:spacing w:line="276" w:lineRule="auto"/>
        <w:ind w:right="-574"/>
        <w:jc w:val="both"/>
        <w:rPr>
          <w:rFonts w:ascii="Open Sans" w:hAnsi="Open Sans" w:cs="Open Sans"/>
          <w:color w:val="000000"/>
        </w:rPr>
      </w:pPr>
      <w:r>
        <w:rPr>
          <w:rFonts w:ascii="Open Sans" w:hAnsi="Open Sans" w:cs="Open Sans"/>
          <w:color w:val="000000"/>
        </w:rPr>
        <w:t xml:space="preserve">En cuanto al precio por metro cuadrado, el distrito </w:t>
      </w:r>
      <w:r w:rsidR="00555E5A" w:rsidRPr="00555E5A">
        <w:rPr>
          <w:rFonts w:ascii="Open Sans" w:hAnsi="Open Sans" w:cs="Open Sans"/>
          <w:color w:val="000000"/>
        </w:rPr>
        <w:t>Ciutat Vella</w:t>
      </w:r>
      <w:r w:rsidR="00555E5A">
        <w:rPr>
          <w:rFonts w:ascii="Open Sans" w:hAnsi="Open Sans" w:cs="Open Sans"/>
          <w:color w:val="000000"/>
        </w:rPr>
        <w:t xml:space="preserve"> </w:t>
      </w:r>
      <w:r>
        <w:rPr>
          <w:rFonts w:ascii="Open Sans" w:hAnsi="Open Sans" w:cs="Open Sans"/>
          <w:color w:val="000000"/>
        </w:rPr>
        <w:t>de Barcelona</w:t>
      </w:r>
      <w:r w:rsidRPr="00B71A05">
        <w:rPr>
          <w:rFonts w:ascii="Open Sans" w:hAnsi="Open Sans" w:cs="Open Sans"/>
          <w:color w:val="000000"/>
        </w:rPr>
        <w:t xml:space="preserve"> </w:t>
      </w:r>
      <w:r>
        <w:rPr>
          <w:rFonts w:ascii="Open Sans" w:hAnsi="Open Sans" w:cs="Open Sans"/>
          <w:color w:val="000000"/>
        </w:rPr>
        <w:t xml:space="preserve">es el más caro con </w:t>
      </w:r>
      <w:r w:rsidR="00C245ED">
        <w:rPr>
          <w:rFonts w:ascii="Open Sans" w:hAnsi="Open Sans" w:cs="Open Sans"/>
          <w:color w:val="000000"/>
        </w:rPr>
        <w:t>17,</w:t>
      </w:r>
      <w:r w:rsidR="007D700D">
        <w:rPr>
          <w:rFonts w:ascii="Open Sans" w:hAnsi="Open Sans" w:cs="Open Sans"/>
          <w:color w:val="000000"/>
        </w:rPr>
        <w:t xml:space="preserve">13 </w:t>
      </w:r>
      <w:r w:rsidRPr="006D0120">
        <w:rPr>
          <w:rFonts w:ascii="Open Sans" w:hAnsi="Open Sans" w:cs="Open Sans"/>
          <w:color w:val="000000"/>
        </w:rPr>
        <w:t>€/m</w:t>
      </w:r>
      <w:r w:rsidRPr="006D0120">
        <w:rPr>
          <w:rFonts w:ascii="Open Sans" w:hAnsi="Open Sans" w:cs="Open Sans"/>
          <w:color w:val="000000"/>
          <w:vertAlign w:val="superscript"/>
        </w:rPr>
        <w:t>2</w:t>
      </w:r>
      <w:r>
        <w:rPr>
          <w:rFonts w:ascii="Open Sans" w:hAnsi="Open Sans" w:cs="Open Sans"/>
          <w:color w:val="000000"/>
          <w:vertAlign w:val="superscript"/>
        </w:rPr>
        <w:t xml:space="preserve"> </w:t>
      </w:r>
      <w:r w:rsidRPr="00A1719F">
        <w:rPr>
          <w:rFonts w:ascii="Open Sans" w:hAnsi="Open Sans" w:cs="Open Sans"/>
          <w:color w:val="000000"/>
        </w:rPr>
        <w:t>al mes</w:t>
      </w:r>
      <w:r>
        <w:rPr>
          <w:rFonts w:ascii="Open Sans" w:hAnsi="Open Sans" w:cs="Open Sans"/>
          <w:color w:val="000000"/>
        </w:rPr>
        <w:t xml:space="preserve"> y el más económico es</w:t>
      </w:r>
      <w:r w:rsidRPr="00FC35BE">
        <w:t xml:space="preserve"> </w:t>
      </w:r>
      <w:r w:rsidRPr="00FC35BE">
        <w:rPr>
          <w:rFonts w:ascii="Open Sans" w:hAnsi="Open Sans" w:cs="Open Sans"/>
          <w:color w:val="000000"/>
        </w:rPr>
        <w:t>Nou Barris</w:t>
      </w:r>
      <w:r>
        <w:rPr>
          <w:rFonts w:ascii="Open Sans" w:hAnsi="Open Sans" w:cs="Open Sans"/>
          <w:color w:val="000000"/>
        </w:rPr>
        <w:t xml:space="preserve"> con </w:t>
      </w:r>
      <w:r w:rsidR="007D700D">
        <w:rPr>
          <w:rFonts w:ascii="Open Sans" w:hAnsi="Open Sans" w:cs="Open Sans"/>
          <w:color w:val="000000"/>
        </w:rPr>
        <w:t>12,74</w:t>
      </w:r>
      <w:r w:rsidRPr="00B71A05">
        <w:rPr>
          <w:rFonts w:ascii="Open Sans" w:hAnsi="Open Sans" w:cs="Open Sans"/>
          <w:color w:val="000000"/>
        </w:rPr>
        <w:t xml:space="preserve"> </w:t>
      </w:r>
      <w:r w:rsidRPr="006D0120">
        <w:rPr>
          <w:rFonts w:ascii="Open Sans" w:hAnsi="Open Sans" w:cs="Open Sans"/>
          <w:color w:val="000000"/>
        </w:rPr>
        <w:t>€/m</w:t>
      </w:r>
      <w:r w:rsidRPr="006D0120">
        <w:rPr>
          <w:rFonts w:ascii="Open Sans" w:hAnsi="Open Sans" w:cs="Open Sans"/>
          <w:color w:val="000000"/>
          <w:vertAlign w:val="superscript"/>
        </w:rPr>
        <w:t>2</w:t>
      </w:r>
      <w:r>
        <w:rPr>
          <w:rFonts w:ascii="Open Sans" w:hAnsi="Open Sans" w:cs="Open Sans"/>
          <w:color w:val="000000"/>
          <w:vertAlign w:val="superscript"/>
        </w:rPr>
        <w:t xml:space="preserve"> </w:t>
      </w:r>
      <w:r w:rsidRPr="00A1719F">
        <w:rPr>
          <w:rFonts w:ascii="Open Sans" w:hAnsi="Open Sans" w:cs="Open Sans"/>
          <w:color w:val="000000"/>
        </w:rPr>
        <w:t>al mes</w:t>
      </w:r>
    </w:p>
    <w:p w14:paraId="433076B4" w14:textId="77777777" w:rsidR="00927A70" w:rsidRDefault="00927A70" w:rsidP="00DD5FB6">
      <w:pPr>
        <w:spacing w:line="276" w:lineRule="auto"/>
        <w:ind w:right="-574"/>
        <w:jc w:val="both"/>
        <w:rPr>
          <w:rFonts w:ascii="Open Sans" w:hAnsi="Open Sans" w:cs="Open Sans"/>
          <w:color w:val="000000"/>
        </w:rPr>
      </w:pPr>
    </w:p>
    <w:p w14:paraId="7AE7DFD2" w14:textId="28BC70BF" w:rsidR="00927A70" w:rsidRDefault="00927A70" w:rsidP="00927A70">
      <w:pPr>
        <w:spacing w:line="276" w:lineRule="auto"/>
        <w:ind w:right="-574"/>
        <w:jc w:val="both"/>
        <w:rPr>
          <w:rFonts w:ascii="Open Sans" w:hAnsi="Open Sans" w:cs="Open Sans"/>
          <w:color w:val="000000"/>
        </w:rPr>
      </w:pPr>
      <w:r>
        <w:rPr>
          <w:rFonts w:ascii="Open Sans Light" w:hAnsi="Open Sans Light" w:cs="Open Sans Light"/>
          <w:b/>
          <w:iCs/>
          <w:color w:val="303AB2"/>
          <w:sz w:val="28"/>
          <w:szCs w:val="22"/>
        </w:rPr>
        <w:t xml:space="preserve">Distritos de Barcelona con </w:t>
      </w:r>
      <w:r w:rsidR="00941004">
        <w:rPr>
          <w:rFonts w:ascii="Open Sans Light" w:hAnsi="Open Sans Light" w:cs="Open Sans Light"/>
          <w:b/>
          <w:iCs/>
          <w:color w:val="303AB2"/>
          <w:sz w:val="28"/>
          <w:szCs w:val="22"/>
        </w:rPr>
        <w:t xml:space="preserve">precio, variación </w:t>
      </w:r>
      <w:r>
        <w:rPr>
          <w:rFonts w:ascii="Open Sans Light" w:hAnsi="Open Sans Light" w:cs="Open Sans Light"/>
          <w:b/>
          <w:iCs/>
          <w:color w:val="303AB2"/>
          <w:sz w:val="28"/>
          <w:szCs w:val="22"/>
        </w:rPr>
        <w:t>mensual</w:t>
      </w:r>
      <w:r w:rsidR="00941004">
        <w:rPr>
          <w:rFonts w:ascii="Open Sans Light" w:hAnsi="Open Sans Light" w:cs="Open Sans Light"/>
          <w:b/>
          <w:iCs/>
          <w:color w:val="303AB2"/>
          <w:sz w:val="28"/>
          <w:szCs w:val="22"/>
        </w:rPr>
        <w:t xml:space="preserve"> e</w:t>
      </w:r>
      <w:r>
        <w:rPr>
          <w:rFonts w:ascii="Open Sans Light" w:hAnsi="Open Sans Light" w:cs="Open Sans Light"/>
          <w:b/>
          <w:iCs/>
          <w:color w:val="303AB2"/>
          <w:sz w:val="28"/>
          <w:szCs w:val="22"/>
        </w:rPr>
        <w:t xml:space="preserve"> interanual </w:t>
      </w:r>
    </w:p>
    <w:tbl>
      <w:tblPr>
        <w:tblStyle w:val="Tabladecuadrcula5oscura-nfasis11"/>
        <w:tblpPr w:leftFromText="141" w:rightFromText="141" w:vertAnchor="text" w:horzAnchor="margin" w:tblpX="-39" w:tblpY="137"/>
        <w:tblW w:w="9273" w:type="dxa"/>
        <w:tblLook w:val="04A0" w:firstRow="1" w:lastRow="0" w:firstColumn="1" w:lastColumn="0" w:noHBand="0" w:noVBand="1"/>
      </w:tblPr>
      <w:tblGrid>
        <w:gridCol w:w="2689"/>
        <w:gridCol w:w="2422"/>
        <w:gridCol w:w="2046"/>
        <w:gridCol w:w="2116"/>
      </w:tblGrid>
      <w:tr w:rsidR="00927A70" w:rsidRPr="00C245ED" w14:paraId="514CCDCE" w14:textId="77777777" w:rsidTr="002067CC">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2C8279C5" w14:textId="77777777" w:rsidR="00927A70" w:rsidRPr="00C245ED" w:rsidRDefault="00927A70" w:rsidP="00607C0B">
            <w:pPr>
              <w:rPr>
                <w:rFonts w:ascii="Open Sans" w:hAnsi="Open Sans" w:cs="Open Sans"/>
                <w:b w:val="0"/>
                <w:bCs w:val="0"/>
                <w:sz w:val="22"/>
                <w:szCs w:val="22"/>
                <w:lang w:val="es-ES"/>
              </w:rPr>
            </w:pPr>
            <w:r w:rsidRPr="00C245ED">
              <w:rPr>
                <w:rFonts w:ascii="Open Sans" w:hAnsi="Open Sans" w:cs="Open Sans"/>
                <w:b w:val="0"/>
                <w:bCs w:val="0"/>
                <w:iCs/>
                <w:sz w:val="22"/>
                <w:szCs w:val="22"/>
                <w:lang w:val="es-ES"/>
              </w:rPr>
              <w:t>Municipio</w:t>
            </w:r>
          </w:p>
        </w:tc>
        <w:tc>
          <w:tcPr>
            <w:tcW w:w="2422" w:type="dxa"/>
            <w:vAlign w:val="center"/>
          </w:tcPr>
          <w:p w14:paraId="2486456C" w14:textId="23765DD4" w:rsidR="00927A70" w:rsidRPr="00C245ED" w:rsidRDefault="007D700D"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Pr>
                <w:rFonts w:ascii="Open Sans" w:hAnsi="Open Sans" w:cs="Open Sans"/>
                <w:b w:val="0"/>
                <w:bCs w:val="0"/>
                <w:sz w:val="22"/>
                <w:szCs w:val="22"/>
                <w:lang w:val="es-ES"/>
              </w:rPr>
              <w:t>Octubre</w:t>
            </w:r>
            <w:r w:rsidR="00C245ED" w:rsidRPr="00210B19">
              <w:rPr>
                <w:rFonts w:ascii="Open Sans" w:hAnsi="Open Sans" w:cs="Open Sans"/>
                <w:b w:val="0"/>
                <w:bCs w:val="0"/>
                <w:sz w:val="22"/>
                <w:szCs w:val="22"/>
                <w:lang w:val="es-ES"/>
              </w:rPr>
              <w:t xml:space="preserve"> </w:t>
            </w:r>
            <w:r w:rsidR="00927A70" w:rsidRPr="00C245ED">
              <w:rPr>
                <w:rFonts w:ascii="Open Sans" w:hAnsi="Open Sans" w:cs="Open Sans"/>
                <w:b w:val="0"/>
                <w:bCs w:val="0"/>
                <w:sz w:val="22"/>
                <w:szCs w:val="22"/>
                <w:lang w:val="es-ES"/>
              </w:rPr>
              <w:t>2020</w:t>
            </w:r>
            <w:r w:rsidR="00927A70" w:rsidRPr="00C245ED">
              <w:rPr>
                <w:rFonts w:ascii="Open Sans" w:hAnsi="Open Sans" w:cs="Open Sans"/>
                <w:b w:val="0"/>
                <w:bCs w:val="0"/>
                <w:sz w:val="22"/>
                <w:szCs w:val="22"/>
                <w:lang w:val="es-ES"/>
              </w:rPr>
              <w:br/>
              <w:t>(€/m</w:t>
            </w:r>
            <w:r w:rsidR="00927A70" w:rsidRPr="00C245ED">
              <w:rPr>
                <w:rFonts w:ascii="Open Sans" w:hAnsi="Open Sans" w:cs="Open Sans"/>
                <w:b w:val="0"/>
                <w:bCs w:val="0"/>
                <w:sz w:val="22"/>
                <w:szCs w:val="22"/>
                <w:vertAlign w:val="superscript"/>
                <w:lang w:val="es-ES"/>
              </w:rPr>
              <w:t xml:space="preserve">2 </w:t>
            </w:r>
            <w:r w:rsidR="00927A70" w:rsidRPr="00C245ED">
              <w:rPr>
                <w:rFonts w:ascii="Open Sans" w:hAnsi="Open Sans" w:cs="Open Sans"/>
                <w:b w:val="0"/>
                <w:bCs w:val="0"/>
                <w:sz w:val="22"/>
                <w:szCs w:val="22"/>
                <w:lang w:val="es-ES"/>
              </w:rPr>
              <w:t>al mes</w:t>
            </w:r>
          </w:p>
        </w:tc>
        <w:tc>
          <w:tcPr>
            <w:tcW w:w="2046" w:type="dxa"/>
          </w:tcPr>
          <w:p w14:paraId="4E220551" w14:textId="77777777" w:rsidR="00927A70" w:rsidRPr="00C245ED" w:rsidRDefault="00927A70"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C245ED">
              <w:rPr>
                <w:rFonts w:ascii="Open Sans" w:hAnsi="Open Sans" w:cs="Open Sans"/>
                <w:b w:val="0"/>
                <w:bCs w:val="0"/>
                <w:sz w:val="22"/>
                <w:szCs w:val="22"/>
                <w:lang w:val="es-ES"/>
              </w:rPr>
              <w:t>Variación</w:t>
            </w:r>
          </w:p>
          <w:p w14:paraId="0A32E067" w14:textId="77777777" w:rsidR="00927A70" w:rsidRPr="00C245ED" w:rsidRDefault="00927A70"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C245ED">
              <w:rPr>
                <w:rFonts w:ascii="Open Sans" w:hAnsi="Open Sans" w:cs="Open Sans"/>
                <w:b w:val="0"/>
                <w:bCs w:val="0"/>
                <w:sz w:val="22"/>
                <w:szCs w:val="22"/>
                <w:lang w:val="es-ES"/>
              </w:rPr>
              <w:t>mensual (%)</w:t>
            </w:r>
          </w:p>
        </w:tc>
        <w:tc>
          <w:tcPr>
            <w:tcW w:w="2116" w:type="dxa"/>
          </w:tcPr>
          <w:p w14:paraId="5CD77914" w14:textId="77777777" w:rsidR="00927A70" w:rsidRPr="00C245ED" w:rsidRDefault="00927A70" w:rsidP="00607C0B">
            <w:pPr>
              <w:jc w:val="center"/>
              <w:cnfStyle w:val="100000000000" w:firstRow="1" w:lastRow="0" w:firstColumn="0" w:lastColumn="0" w:oddVBand="0" w:evenVBand="0" w:oddHBand="0" w:evenHBand="0" w:firstRowFirstColumn="0" w:firstRowLastColumn="0" w:lastRowFirstColumn="0" w:lastRowLastColumn="0"/>
              <w:rPr>
                <w:rFonts w:ascii="Open Sans" w:hAnsi="Open Sans" w:cs="Open Sans"/>
                <w:b w:val="0"/>
                <w:bCs w:val="0"/>
                <w:sz w:val="22"/>
                <w:szCs w:val="22"/>
                <w:lang w:val="es-ES"/>
              </w:rPr>
            </w:pPr>
            <w:r w:rsidRPr="00C245ED">
              <w:rPr>
                <w:rFonts w:ascii="Open Sans" w:hAnsi="Open Sans" w:cs="Open Sans"/>
                <w:b w:val="0"/>
                <w:bCs w:val="0"/>
                <w:sz w:val="22"/>
                <w:szCs w:val="22"/>
                <w:lang w:val="es-ES"/>
              </w:rPr>
              <w:t>Variación interanual (%)</w:t>
            </w:r>
          </w:p>
        </w:tc>
      </w:tr>
      <w:tr w:rsidR="007D700D" w:rsidRPr="00C245ED" w14:paraId="58938C60" w14:textId="77777777" w:rsidTr="002067C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0A803400" w14:textId="3161D012"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Ciutat Vella</w:t>
            </w:r>
          </w:p>
        </w:tc>
        <w:tc>
          <w:tcPr>
            <w:tcW w:w="2422" w:type="dxa"/>
            <w:vAlign w:val="bottom"/>
          </w:tcPr>
          <w:p w14:paraId="7357A782" w14:textId="070900D3"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17,13 €</w:t>
            </w:r>
          </w:p>
        </w:tc>
        <w:tc>
          <w:tcPr>
            <w:tcW w:w="2046" w:type="dxa"/>
            <w:vAlign w:val="bottom"/>
          </w:tcPr>
          <w:p w14:paraId="04C21952" w14:textId="2C5F8525"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-2,1 %</w:t>
            </w:r>
          </w:p>
        </w:tc>
        <w:tc>
          <w:tcPr>
            <w:tcW w:w="2116" w:type="dxa"/>
            <w:vAlign w:val="bottom"/>
          </w:tcPr>
          <w:p w14:paraId="25521244" w14:textId="3EF287FF"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-10,3 %</w:t>
            </w:r>
          </w:p>
        </w:tc>
      </w:tr>
      <w:tr w:rsidR="007D700D" w:rsidRPr="00C245ED" w14:paraId="2D04F0C2" w14:textId="77777777" w:rsidTr="002067CC">
        <w:trPr>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2F7D1844" w14:textId="68A6A0C6"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Sarrià - Sant Gervasi</w:t>
            </w:r>
          </w:p>
        </w:tc>
        <w:tc>
          <w:tcPr>
            <w:tcW w:w="2422" w:type="dxa"/>
            <w:vAlign w:val="bottom"/>
          </w:tcPr>
          <w:p w14:paraId="6D18B6ED" w14:textId="36F309FC"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16,97 €</w:t>
            </w:r>
          </w:p>
        </w:tc>
        <w:tc>
          <w:tcPr>
            <w:tcW w:w="2046" w:type="dxa"/>
            <w:vAlign w:val="bottom"/>
          </w:tcPr>
          <w:p w14:paraId="682E9436" w14:textId="228027EF"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-1,9 %</w:t>
            </w:r>
          </w:p>
        </w:tc>
        <w:tc>
          <w:tcPr>
            <w:tcW w:w="2116" w:type="dxa"/>
            <w:vAlign w:val="bottom"/>
          </w:tcPr>
          <w:p w14:paraId="5DF8CE08" w14:textId="7F6E83F7"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-4,6 %</w:t>
            </w:r>
          </w:p>
        </w:tc>
      </w:tr>
      <w:tr w:rsidR="007D700D" w:rsidRPr="00C245ED" w14:paraId="20EB0356" w14:textId="77777777" w:rsidTr="002067C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319512E0" w14:textId="5B05E8F1"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Eixample</w:t>
            </w:r>
          </w:p>
        </w:tc>
        <w:tc>
          <w:tcPr>
            <w:tcW w:w="2422" w:type="dxa"/>
            <w:vAlign w:val="bottom"/>
          </w:tcPr>
          <w:p w14:paraId="3F01F165" w14:textId="467AE1B6"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16,33 €</w:t>
            </w:r>
          </w:p>
        </w:tc>
        <w:tc>
          <w:tcPr>
            <w:tcW w:w="2046" w:type="dxa"/>
            <w:vAlign w:val="bottom"/>
          </w:tcPr>
          <w:p w14:paraId="4896773F" w14:textId="2711744F"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-1,9 %</w:t>
            </w:r>
          </w:p>
        </w:tc>
        <w:tc>
          <w:tcPr>
            <w:tcW w:w="2116" w:type="dxa"/>
            <w:vAlign w:val="bottom"/>
          </w:tcPr>
          <w:p w14:paraId="4F6997A2" w14:textId="349511B7"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-7,2 %</w:t>
            </w:r>
          </w:p>
        </w:tc>
      </w:tr>
      <w:tr w:rsidR="007D700D" w:rsidRPr="00C245ED" w14:paraId="32100637" w14:textId="77777777" w:rsidTr="002067CC">
        <w:trPr>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72EBB9C7" w14:textId="2C6F3185"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Gràcia</w:t>
            </w:r>
          </w:p>
        </w:tc>
        <w:tc>
          <w:tcPr>
            <w:tcW w:w="2422" w:type="dxa"/>
            <w:vAlign w:val="bottom"/>
          </w:tcPr>
          <w:p w14:paraId="584308B1" w14:textId="58D44D3F"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15,94 €</w:t>
            </w:r>
          </w:p>
        </w:tc>
        <w:tc>
          <w:tcPr>
            <w:tcW w:w="2046" w:type="dxa"/>
            <w:vAlign w:val="bottom"/>
          </w:tcPr>
          <w:p w14:paraId="1EB162D1" w14:textId="79CE48F9"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-2,2 %</w:t>
            </w:r>
          </w:p>
        </w:tc>
        <w:tc>
          <w:tcPr>
            <w:tcW w:w="2116" w:type="dxa"/>
            <w:vAlign w:val="bottom"/>
          </w:tcPr>
          <w:p w14:paraId="1628B0B6" w14:textId="198E672D"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-4,5 %</w:t>
            </w:r>
          </w:p>
        </w:tc>
      </w:tr>
      <w:tr w:rsidR="007D700D" w:rsidRPr="00C245ED" w14:paraId="4B8AACFC" w14:textId="77777777" w:rsidTr="002067C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2BCB4C7D" w14:textId="59CD57BE"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Les Corts</w:t>
            </w:r>
          </w:p>
        </w:tc>
        <w:tc>
          <w:tcPr>
            <w:tcW w:w="2422" w:type="dxa"/>
            <w:vAlign w:val="bottom"/>
          </w:tcPr>
          <w:p w14:paraId="31422F74" w14:textId="32116DDC"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15,36 €</w:t>
            </w:r>
          </w:p>
        </w:tc>
        <w:tc>
          <w:tcPr>
            <w:tcW w:w="2046" w:type="dxa"/>
            <w:vAlign w:val="bottom"/>
          </w:tcPr>
          <w:p w14:paraId="53233906" w14:textId="6B7BA49B"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-2,2 %</w:t>
            </w:r>
          </w:p>
        </w:tc>
        <w:tc>
          <w:tcPr>
            <w:tcW w:w="2116" w:type="dxa"/>
            <w:vAlign w:val="bottom"/>
          </w:tcPr>
          <w:p w14:paraId="094F8AC0" w14:textId="5BC8FA7B"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-10,3 %</w:t>
            </w:r>
          </w:p>
        </w:tc>
      </w:tr>
      <w:tr w:rsidR="007D700D" w:rsidRPr="00C245ED" w14:paraId="58C43286" w14:textId="77777777" w:rsidTr="002067CC">
        <w:trPr>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221B1318" w14:textId="1FD108F6"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Sants - Montjuïc</w:t>
            </w:r>
          </w:p>
        </w:tc>
        <w:tc>
          <w:tcPr>
            <w:tcW w:w="2422" w:type="dxa"/>
            <w:vAlign w:val="bottom"/>
          </w:tcPr>
          <w:p w14:paraId="03B84781" w14:textId="4869C799"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15,24 €</w:t>
            </w:r>
          </w:p>
        </w:tc>
        <w:tc>
          <w:tcPr>
            <w:tcW w:w="2046" w:type="dxa"/>
            <w:vAlign w:val="bottom"/>
          </w:tcPr>
          <w:p w14:paraId="4F9BD3CA" w14:textId="4026287A"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-2,4 %</w:t>
            </w:r>
          </w:p>
        </w:tc>
        <w:tc>
          <w:tcPr>
            <w:tcW w:w="2116" w:type="dxa"/>
            <w:vAlign w:val="bottom"/>
          </w:tcPr>
          <w:p w14:paraId="2818C181" w14:textId="738A53FB"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-4,5 %</w:t>
            </w:r>
          </w:p>
        </w:tc>
      </w:tr>
      <w:tr w:rsidR="007D700D" w:rsidRPr="00C245ED" w14:paraId="4314D3F9" w14:textId="77777777" w:rsidTr="002067C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79D33583" w14:textId="1D8488EB"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Sant Martí</w:t>
            </w:r>
          </w:p>
        </w:tc>
        <w:tc>
          <w:tcPr>
            <w:tcW w:w="2422" w:type="dxa"/>
            <w:vAlign w:val="bottom"/>
          </w:tcPr>
          <w:p w14:paraId="36B8E5F1" w14:textId="3214911D"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15,13 €</w:t>
            </w:r>
          </w:p>
        </w:tc>
        <w:tc>
          <w:tcPr>
            <w:tcW w:w="2046" w:type="dxa"/>
            <w:vAlign w:val="bottom"/>
          </w:tcPr>
          <w:p w14:paraId="6E5A120F" w14:textId="7CF39AAF"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-4,7 %</w:t>
            </w:r>
          </w:p>
        </w:tc>
        <w:tc>
          <w:tcPr>
            <w:tcW w:w="2116" w:type="dxa"/>
            <w:vAlign w:val="bottom"/>
          </w:tcPr>
          <w:p w14:paraId="1073BC8B" w14:textId="23ED6D98"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-11,1 %</w:t>
            </w:r>
          </w:p>
        </w:tc>
      </w:tr>
      <w:tr w:rsidR="007D700D" w:rsidRPr="00C245ED" w14:paraId="0F8D0E87" w14:textId="77777777" w:rsidTr="002067CC">
        <w:trPr>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1114C922" w14:textId="196B769B"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Horta - Guinardó</w:t>
            </w:r>
          </w:p>
        </w:tc>
        <w:tc>
          <w:tcPr>
            <w:tcW w:w="2422" w:type="dxa"/>
            <w:vAlign w:val="bottom"/>
          </w:tcPr>
          <w:p w14:paraId="6574D060" w14:textId="2ECDEDFA"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13,63 €</w:t>
            </w:r>
          </w:p>
        </w:tc>
        <w:tc>
          <w:tcPr>
            <w:tcW w:w="2046" w:type="dxa"/>
            <w:vAlign w:val="bottom"/>
          </w:tcPr>
          <w:p w14:paraId="4D6AE777" w14:textId="632D238D"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0,4 %</w:t>
            </w:r>
          </w:p>
        </w:tc>
        <w:tc>
          <w:tcPr>
            <w:tcW w:w="2116" w:type="dxa"/>
            <w:vAlign w:val="bottom"/>
          </w:tcPr>
          <w:p w14:paraId="193E8BFC" w14:textId="50D3F744"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-5,7 %</w:t>
            </w:r>
          </w:p>
        </w:tc>
      </w:tr>
      <w:tr w:rsidR="007D700D" w:rsidRPr="00C245ED" w14:paraId="003B96F8" w14:textId="77777777" w:rsidTr="002067C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31730B90" w14:textId="22F1EF0A"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Sant Andreu</w:t>
            </w:r>
          </w:p>
        </w:tc>
        <w:tc>
          <w:tcPr>
            <w:tcW w:w="2422" w:type="dxa"/>
            <w:vAlign w:val="bottom"/>
          </w:tcPr>
          <w:p w14:paraId="258F67D5" w14:textId="0F2EC77C"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13,47 €</w:t>
            </w:r>
          </w:p>
        </w:tc>
        <w:tc>
          <w:tcPr>
            <w:tcW w:w="2046" w:type="dxa"/>
            <w:vAlign w:val="bottom"/>
          </w:tcPr>
          <w:p w14:paraId="098F2C07" w14:textId="077B134D"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-4,6 %</w:t>
            </w:r>
          </w:p>
        </w:tc>
        <w:tc>
          <w:tcPr>
            <w:tcW w:w="2116" w:type="dxa"/>
            <w:vAlign w:val="bottom"/>
          </w:tcPr>
          <w:p w14:paraId="5498AD42" w14:textId="754165D8" w:rsidR="007D700D" w:rsidRPr="00C245ED" w:rsidRDefault="007D700D" w:rsidP="007D700D">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-8,7 %</w:t>
            </w:r>
          </w:p>
        </w:tc>
      </w:tr>
      <w:tr w:rsidR="007D700D" w:rsidRPr="00C245ED" w14:paraId="222DDFDE" w14:textId="77777777" w:rsidTr="002067CC">
        <w:trPr>
          <w:trHeight w:val="292"/>
        </w:trPr>
        <w:tc>
          <w:tcPr>
            <w:cnfStyle w:val="001000000000" w:firstRow="0" w:lastRow="0" w:firstColumn="1" w:lastColumn="0" w:oddVBand="0" w:evenVBand="0" w:oddHBand="0" w:evenHBand="0" w:firstRowFirstColumn="0" w:firstRowLastColumn="0" w:lastRowFirstColumn="0" w:lastRowLastColumn="0"/>
            <w:tcW w:w="2689" w:type="dxa"/>
            <w:vAlign w:val="bottom"/>
          </w:tcPr>
          <w:p w14:paraId="091B6158" w14:textId="6AC2BFDD" w:rsidR="007D700D" w:rsidRPr="007D700D" w:rsidRDefault="007D700D" w:rsidP="007D700D">
            <w:pPr>
              <w:rPr>
                <w:rFonts w:ascii="Open Sans" w:hAnsi="Open Sans" w:cs="Open Sans"/>
                <w:b w:val="0"/>
                <w:bCs w:val="0"/>
                <w:sz w:val="22"/>
                <w:szCs w:val="22"/>
              </w:rPr>
            </w:pPr>
            <w:r w:rsidRPr="007D700D">
              <w:rPr>
                <w:rFonts w:ascii="Open Sans" w:hAnsi="Open Sans" w:cs="Open Sans"/>
                <w:b w:val="0"/>
                <w:bCs w:val="0"/>
                <w:sz w:val="22"/>
                <w:szCs w:val="22"/>
              </w:rPr>
              <w:t>Nou Barris</w:t>
            </w:r>
          </w:p>
        </w:tc>
        <w:tc>
          <w:tcPr>
            <w:tcW w:w="2422" w:type="dxa"/>
            <w:vAlign w:val="bottom"/>
          </w:tcPr>
          <w:p w14:paraId="7A7217C0" w14:textId="06E797F6"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000000"/>
                <w:sz w:val="22"/>
                <w:szCs w:val="22"/>
              </w:rPr>
              <w:t>12,74 €</w:t>
            </w:r>
          </w:p>
        </w:tc>
        <w:tc>
          <w:tcPr>
            <w:tcW w:w="2046" w:type="dxa"/>
            <w:vAlign w:val="bottom"/>
          </w:tcPr>
          <w:p w14:paraId="06062478" w14:textId="213DAE8B"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-2,5 %</w:t>
            </w:r>
          </w:p>
        </w:tc>
        <w:tc>
          <w:tcPr>
            <w:tcW w:w="2116" w:type="dxa"/>
            <w:vAlign w:val="bottom"/>
          </w:tcPr>
          <w:p w14:paraId="34B1C060" w14:textId="685E87D2" w:rsidR="007D700D" w:rsidRPr="00C245ED" w:rsidRDefault="007D700D" w:rsidP="007D700D">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color w:val="9C0006"/>
                <w:sz w:val="22"/>
                <w:szCs w:val="22"/>
              </w:rPr>
              <w:t>-0,6 %</w:t>
            </w:r>
          </w:p>
        </w:tc>
      </w:tr>
    </w:tbl>
    <w:p w14:paraId="73FE325C" w14:textId="77777777" w:rsidR="00927A70" w:rsidRDefault="00927A70" w:rsidP="00927A70">
      <w:pPr>
        <w:spacing w:line="276" w:lineRule="auto"/>
        <w:ind w:right="-574"/>
        <w:jc w:val="both"/>
        <w:rPr>
          <w:rFonts w:ascii="Open Sans" w:hAnsi="Open Sans" w:cs="Open Sans"/>
          <w:color w:val="000000"/>
        </w:rPr>
      </w:pPr>
    </w:p>
    <w:p w14:paraId="614ED44A" w14:textId="77777777" w:rsidR="000A772E" w:rsidRDefault="000A772E" w:rsidP="008B2524">
      <w:pPr>
        <w:spacing w:line="276" w:lineRule="auto"/>
        <w:ind w:right="-574"/>
        <w:jc w:val="right"/>
        <w:rPr>
          <w:rFonts w:ascii="Open Sans Light" w:hAnsi="Open Sans Light" w:cs="Open Sans Light"/>
          <w:b/>
          <w:iCs/>
          <w:color w:val="303AB2"/>
          <w:szCs w:val="20"/>
          <w:lang w:val="es-ES"/>
        </w:rPr>
      </w:pPr>
    </w:p>
    <w:p w14:paraId="467B8806" w14:textId="77777777" w:rsidR="000A772E" w:rsidRDefault="000A772E" w:rsidP="008B2524">
      <w:pPr>
        <w:spacing w:line="276" w:lineRule="auto"/>
        <w:ind w:right="-574"/>
        <w:jc w:val="right"/>
        <w:rPr>
          <w:rFonts w:ascii="Open Sans Light" w:hAnsi="Open Sans Light" w:cs="Open Sans Light"/>
          <w:b/>
          <w:iCs/>
          <w:color w:val="303AB2"/>
          <w:szCs w:val="20"/>
          <w:lang w:val="es-ES"/>
        </w:rPr>
      </w:pPr>
    </w:p>
    <w:p w14:paraId="7DA425F5" w14:textId="77777777" w:rsidR="000A772E" w:rsidRDefault="000A772E" w:rsidP="008B2524">
      <w:pPr>
        <w:spacing w:line="276" w:lineRule="auto"/>
        <w:ind w:right="-574"/>
        <w:jc w:val="right"/>
        <w:rPr>
          <w:rFonts w:ascii="Open Sans Light" w:hAnsi="Open Sans Light" w:cs="Open Sans Light"/>
          <w:b/>
          <w:iCs/>
          <w:color w:val="303AB2"/>
          <w:szCs w:val="20"/>
          <w:lang w:val="es-ES"/>
        </w:rPr>
      </w:pPr>
    </w:p>
    <w:p w14:paraId="4C2A3A51" w14:textId="77777777" w:rsidR="000A772E" w:rsidRDefault="000A772E" w:rsidP="008B2524">
      <w:pPr>
        <w:spacing w:line="276" w:lineRule="auto"/>
        <w:ind w:right="-574"/>
        <w:jc w:val="right"/>
        <w:rPr>
          <w:rFonts w:ascii="Open Sans Light" w:hAnsi="Open Sans Light" w:cs="Open Sans Light"/>
          <w:b/>
          <w:iCs/>
          <w:color w:val="303AB2"/>
          <w:szCs w:val="20"/>
          <w:lang w:val="es-ES"/>
        </w:rPr>
      </w:pPr>
    </w:p>
    <w:p w14:paraId="67622481" w14:textId="77777777" w:rsidR="000A772E" w:rsidRDefault="000A772E" w:rsidP="008B2524">
      <w:pPr>
        <w:spacing w:line="276" w:lineRule="auto"/>
        <w:ind w:right="-574"/>
        <w:jc w:val="right"/>
        <w:rPr>
          <w:rFonts w:ascii="Open Sans Light" w:hAnsi="Open Sans Light" w:cs="Open Sans Light"/>
          <w:b/>
          <w:iCs/>
          <w:color w:val="303AB2"/>
          <w:szCs w:val="20"/>
          <w:lang w:val="es-ES"/>
        </w:rPr>
      </w:pPr>
    </w:p>
    <w:p w14:paraId="6B3FE7CA" w14:textId="77777777" w:rsidR="000A772E" w:rsidRDefault="000A772E" w:rsidP="000A772E">
      <w:pPr>
        <w:spacing w:line="276" w:lineRule="auto"/>
        <w:ind w:right="-574"/>
        <w:jc w:val="right"/>
        <w:rPr>
          <w:rFonts w:ascii="Open Sans Light" w:eastAsia="Open Sans Light" w:hAnsi="Open Sans Light" w:cs="Open Sans Light"/>
          <w:b/>
          <w:color w:val="303AB2"/>
        </w:rPr>
      </w:pPr>
      <w:bookmarkStart w:id="0" w:name="_Hlk54554145"/>
      <w:bookmarkStart w:id="1" w:name="_GoBack"/>
      <w:bookmarkEnd w:id="1"/>
      <w:r>
        <w:rPr>
          <w:rFonts w:ascii="Open Sans Light" w:eastAsia="Open Sans Light" w:hAnsi="Open Sans Light" w:cs="Open Sans Light"/>
          <w:b/>
          <w:color w:val="303AB2"/>
        </w:rPr>
        <w:lastRenderedPageBreak/>
        <w:t>Sobre Fotocasa</w:t>
      </w:r>
    </w:p>
    <w:p w14:paraId="0DAC1C21" w14:textId="77777777" w:rsidR="000A772E" w:rsidRPr="005D22CA" w:rsidRDefault="000A772E" w:rsidP="000A772E">
      <w:pPr>
        <w:pBdr>
          <w:top w:val="nil"/>
          <w:left w:val="nil"/>
          <w:bottom w:val="nil"/>
          <w:right w:val="nil"/>
          <w:between w:val="nil"/>
        </w:pBdr>
        <w:shd w:val="clear" w:color="auto" w:fill="FFFFFF"/>
        <w:spacing w:before="280" w:after="280"/>
        <w:ind w:right="-567"/>
        <w:jc w:val="both"/>
        <w:rPr>
          <w:rFonts w:ascii="Times New Roman" w:eastAsia="Times New Roman" w:hAnsi="Times New Roman" w:cs="Times New Roman"/>
          <w:color w:val="222222"/>
          <w:sz w:val="22"/>
          <w:szCs w:val="22"/>
        </w:rPr>
      </w:pPr>
      <w:r w:rsidRPr="005D22CA">
        <w:rPr>
          <w:rFonts w:ascii="Open Sans" w:eastAsia="Open Sans" w:hAnsi="Open Sans" w:cs="Open Sans"/>
          <w:color w:val="000000"/>
          <w:sz w:val="22"/>
          <w:szCs w:val="22"/>
        </w:rPr>
        <w:t>Portal inmobiliario que cuenta con inmuebles de segunda mano, promociones de obra nueva y viviendas de alquiler. Cada mes genera un tráfico de 25 millones de visitas (75% a través de dispositivos móviles) y 650 millones de páginas vistas y cada día la visitan un promedio de 500.000 usuarios únicos.</w:t>
      </w:r>
    </w:p>
    <w:p w14:paraId="1EBFC614" w14:textId="77777777" w:rsidR="000A772E" w:rsidRPr="005D22CA" w:rsidRDefault="000A772E" w:rsidP="000A772E">
      <w:pPr>
        <w:pBdr>
          <w:top w:val="nil"/>
          <w:left w:val="nil"/>
          <w:bottom w:val="nil"/>
          <w:right w:val="nil"/>
          <w:between w:val="nil"/>
        </w:pBdr>
        <w:shd w:val="clear" w:color="auto" w:fill="FFFFFF"/>
        <w:spacing w:before="280" w:after="280"/>
        <w:ind w:right="-567"/>
        <w:jc w:val="both"/>
        <w:rPr>
          <w:rFonts w:ascii="Times New Roman" w:eastAsia="Times New Roman" w:hAnsi="Times New Roman" w:cs="Times New Roman"/>
          <w:color w:val="222222"/>
          <w:sz w:val="22"/>
          <w:szCs w:val="22"/>
        </w:rPr>
      </w:pPr>
      <w:r w:rsidRPr="005D22CA">
        <w:rPr>
          <w:rFonts w:ascii="Open Sans" w:eastAsia="Open Sans" w:hAnsi="Open Sans" w:cs="Open Sans"/>
          <w:color w:val="000000"/>
          <w:sz w:val="22"/>
          <w:szCs w:val="22"/>
        </w:rPr>
        <w:t>Mensualmente elabora el </w:t>
      </w:r>
      <w:hyperlink r:id="rId13">
        <w:r w:rsidRPr="005D22CA">
          <w:rPr>
            <w:rFonts w:ascii="Open Sans" w:eastAsia="Open Sans" w:hAnsi="Open Sans" w:cs="Open Sans"/>
            <w:color w:val="0000FF"/>
            <w:sz w:val="22"/>
            <w:szCs w:val="22"/>
            <w:u w:val="single"/>
          </w:rPr>
          <w:t>índice inmobiliario Fotocasa</w:t>
        </w:r>
      </w:hyperlink>
      <w:r w:rsidRPr="005D22CA">
        <w:rPr>
          <w:rFonts w:ascii="Open Sans" w:eastAsia="Open Sans" w:hAnsi="Open Sans" w:cs="Open Sans"/>
          <w:color w:val="000000"/>
          <w:sz w:val="22"/>
          <w:szCs w:val="22"/>
        </w:rPr>
        <w:t>, un informe de referencia sobre la evolución del precio medio de la vivienda en España, tanto en venta como en alquiler.</w:t>
      </w:r>
    </w:p>
    <w:bookmarkStart w:id="2" w:name="_heading=h.gjdgxs" w:colFirst="0" w:colLast="0"/>
    <w:bookmarkEnd w:id="2"/>
    <w:p w14:paraId="3E1EA78F" w14:textId="77777777" w:rsidR="000A772E" w:rsidRPr="005D22CA" w:rsidRDefault="000A772E" w:rsidP="000A772E">
      <w:pPr>
        <w:pBdr>
          <w:top w:val="nil"/>
          <w:left w:val="nil"/>
          <w:bottom w:val="nil"/>
          <w:right w:val="nil"/>
          <w:between w:val="nil"/>
        </w:pBdr>
        <w:shd w:val="clear" w:color="auto" w:fill="FFFFFF"/>
        <w:spacing w:before="280" w:after="280"/>
        <w:ind w:right="-567"/>
        <w:jc w:val="both"/>
        <w:rPr>
          <w:rFonts w:ascii="Open Sans" w:eastAsia="Open Sans" w:hAnsi="Open Sans" w:cs="Open Sans"/>
          <w:color w:val="000000"/>
          <w:sz w:val="22"/>
          <w:szCs w:val="22"/>
        </w:rPr>
      </w:pPr>
      <w:r w:rsidRPr="005D22CA">
        <w:rPr>
          <w:rFonts w:ascii="Calibri" w:eastAsia="Calibri" w:hAnsi="Calibri" w:cs="Calibri"/>
          <w:sz w:val="22"/>
          <w:szCs w:val="22"/>
        </w:rPr>
        <w:fldChar w:fldCharType="begin"/>
      </w:r>
      <w:r w:rsidRPr="005D22CA">
        <w:rPr>
          <w:sz w:val="22"/>
          <w:szCs w:val="22"/>
        </w:rPr>
        <w:instrText xml:space="preserve"> HYPERLINK "http://www.fotocasa.es/" \h </w:instrText>
      </w:r>
      <w:r w:rsidRPr="005D22CA">
        <w:rPr>
          <w:rFonts w:ascii="Calibri" w:eastAsia="Calibri" w:hAnsi="Calibri" w:cs="Calibri"/>
          <w:sz w:val="22"/>
          <w:szCs w:val="22"/>
        </w:rPr>
        <w:fldChar w:fldCharType="separate"/>
      </w:r>
      <w:r w:rsidRPr="005D22CA">
        <w:rPr>
          <w:rFonts w:ascii="Open Sans" w:eastAsia="Open Sans" w:hAnsi="Open Sans" w:cs="Open Sans"/>
          <w:b/>
          <w:color w:val="0000FF"/>
          <w:sz w:val="22"/>
          <w:szCs w:val="22"/>
          <w:u w:val="single"/>
        </w:rPr>
        <w:t>Fotocasa</w:t>
      </w:r>
      <w:r w:rsidRPr="005D22CA">
        <w:rPr>
          <w:rFonts w:ascii="Open Sans" w:eastAsia="Open Sans" w:hAnsi="Open Sans" w:cs="Open Sans"/>
          <w:b/>
          <w:color w:val="0000FF"/>
          <w:sz w:val="22"/>
          <w:szCs w:val="22"/>
          <w:u w:val="single"/>
        </w:rPr>
        <w:fldChar w:fldCharType="end"/>
      </w:r>
      <w:r w:rsidRPr="005D22CA">
        <w:rPr>
          <w:rFonts w:ascii="Open Sans" w:eastAsia="Open Sans" w:hAnsi="Open Sans" w:cs="Open Sans"/>
          <w:color w:val="000000"/>
          <w:sz w:val="22"/>
          <w:szCs w:val="22"/>
        </w:rPr>
        <w:t> pertenece a </w:t>
      </w:r>
      <w:hyperlink r:id="rId14">
        <w:r w:rsidRPr="005D22CA">
          <w:rPr>
            <w:rFonts w:ascii="Open Sans" w:eastAsia="Open Sans" w:hAnsi="Open Sans" w:cs="Open Sans"/>
            <w:color w:val="0000FF"/>
            <w:sz w:val="22"/>
            <w:szCs w:val="22"/>
            <w:u w:val="single"/>
          </w:rPr>
          <w:t>Adevinta</w:t>
        </w:r>
      </w:hyperlink>
      <w:r w:rsidRPr="005D22CA">
        <w:rPr>
          <w:rFonts w:ascii="Open Sans" w:eastAsia="Open Sans" w:hAnsi="Open Sans" w:cs="Open Sans"/>
          <w:color w:val="000000"/>
          <w:sz w:val="22"/>
          <w:szCs w:val="22"/>
        </w:rPr>
        <w:t>, una empresa 100% especializada en Marketplace digitales y el único “pure player” del sector a nivel mundial. Con presencia en 12 países de Europa, América Latina y África del Norte, el conjunto de sus plataformas locales recibe un promedio de 1.500 millones de visitas cada mes.</w:t>
      </w:r>
    </w:p>
    <w:p w14:paraId="390EFEED" w14:textId="77777777" w:rsidR="000A772E" w:rsidRPr="005D22CA" w:rsidRDefault="00970A05" w:rsidP="000A772E">
      <w:pPr>
        <w:pBdr>
          <w:top w:val="nil"/>
          <w:left w:val="nil"/>
          <w:bottom w:val="nil"/>
          <w:right w:val="nil"/>
          <w:between w:val="nil"/>
        </w:pBdr>
        <w:shd w:val="clear" w:color="auto" w:fill="FFFFFF"/>
        <w:spacing w:before="280" w:after="280"/>
        <w:ind w:right="-567"/>
        <w:jc w:val="both"/>
        <w:rPr>
          <w:rFonts w:ascii="Times New Roman" w:eastAsia="Times New Roman" w:hAnsi="Times New Roman" w:cs="Times New Roman"/>
          <w:color w:val="222222"/>
          <w:sz w:val="22"/>
          <w:szCs w:val="22"/>
        </w:rPr>
      </w:pPr>
      <w:hyperlink r:id="rId15" w:history="1">
        <w:r w:rsidR="000A772E" w:rsidRPr="005D22CA">
          <w:rPr>
            <w:rStyle w:val="Hipervnculo"/>
            <w:rFonts w:ascii="Open Sans" w:eastAsia="Open Sans" w:hAnsi="Open Sans" w:cs="Open Sans"/>
            <w:sz w:val="22"/>
            <w:szCs w:val="22"/>
          </w:rPr>
          <w:t>Más información sobre Fotocasa</w:t>
        </w:r>
      </w:hyperlink>
      <w:r w:rsidR="000A772E" w:rsidRPr="005D22CA">
        <w:rPr>
          <w:rFonts w:ascii="Open Sans" w:eastAsia="Open Sans" w:hAnsi="Open Sans" w:cs="Open Sans"/>
          <w:color w:val="000000"/>
          <w:sz w:val="22"/>
          <w:szCs w:val="22"/>
        </w:rPr>
        <w:t>.</w:t>
      </w:r>
    </w:p>
    <w:p w14:paraId="0F56AC1B" w14:textId="77777777" w:rsidR="000A772E" w:rsidRPr="005D22CA" w:rsidRDefault="000A772E" w:rsidP="000A772E">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2"/>
          <w:szCs w:val="22"/>
        </w:rPr>
      </w:pPr>
      <w:r w:rsidRPr="005D22CA">
        <w:rPr>
          <w:rFonts w:ascii="Open Sans" w:eastAsia="Open Sans" w:hAnsi="Open Sans" w:cs="Open Sans"/>
          <w:color w:val="000000"/>
          <w:sz w:val="22"/>
          <w:szCs w:val="22"/>
        </w:rPr>
        <w:t>En España, </w:t>
      </w:r>
      <w:hyperlink r:id="rId16">
        <w:r w:rsidRPr="005D22CA">
          <w:rPr>
            <w:rFonts w:ascii="Open Sans" w:eastAsia="Open Sans" w:hAnsi="Open Sans" w:cs="Open Sans"/>
            <w:color w:val="0000FF"/>
            <w:sz w:val="22"/>
            <w:szCs w:val="22"/>
            <w:u w:val="single"/>
          </w:rPr>
          <w:t>Adevinta</w:t>
        </w:r>
      </w:hyperlink>
      <w:r w:rsidRPr="005D22CA">
        <w:rPr>
          <w:rFonts w:ascii="Open Sans" w:eastAsia="Open Sans" w:hAnsi="Open Sans" w:cs="Open Sans"/>
          <w:color w:val="000000"/>
          <w:sz w:val="22"/>
          <w:szCs w:val="22"/>
        </w:rPr>
        <w:t>, antes Schibsted Spain, es una de las principales empresas del sector tecnológico del país y un referente de transformación digital. En sus 40 años de trayectoria en el mercado español de clasificados, los negocios de Adevinta han evolucionado del papel al online hasta convertirse en el referente de Internet en sectores relevantes como inmobiliaria (</w:t>
      </w:r>
      <w:hyperlink r:id="rId17">
        <w:r w:rsidRPr="005D22CA">
          <w:rPr>
            <w:rFonts w:ascii="Open Sans" w:eastAsia="Open Sans" w:hAnsi="Open Sans" w:cs="Open Sans"/>
            <w:color w:val="0000FF"/>
            <w:sz w:val="22"/>
            <w:szCs w:val="22"/>
            <w:u w:val="single"/>
          </w:rPr>
          <w:t>Fotocasa</w:t>
        </w:r>
      </w:hyperlink>
      <w:r w:rsidRPr="005D22CA">
        <w:rPr>
          <w:rFonts w:ascii="Open Sans" w:eastAsia="Open Sans" w:hAnsi="Open Sans" w:cs="Open Sans"/>
          <w:color w:val="000000"/>
          <w:sz w:val="22"/>
          <w:szCs w:val="22"/>
        </w:rPr>
        <w:t> y </w:t>
      </w:r>
      <w:hyperlink r:id="rId18">
        <w:r w:rsidRPr="005D22CA">
          <w:rPr>
            <w:rFonts w:ascii="Open Sans" w:eastAsia="Open Sans" w:hAnsi="Open Sans" w:cs="Open Sans"/>
            <w:color w:val="0000FF"/>
            <w:sz w:val="22"/>
            <w:szCs w:val="22"/>
            <w:u w:val="single"/>
          </w:rPr>
          <w:t>habitaclia</w:t>
        </w:r>
      </w:hyperlink>
      <w:r w:rsidRPr="005D22CA">
        <w:rPr>
          <w:rFonts w:ascii="Open Sans" w:eastAsia="Open Sans" w:hAnsi="Open Sans" w:cs="Open Sans"/>
          <w:color w:val="000000"/>
          <w:sz w:val="22"/>
          <w:szCs w:val="22"/>
        </w:rPr>
        <w:t>), empleo (</w:t>
      </w:r>
      <w:hyperlink r:id="rId19">
        <w:r w:rsidRPr="005D22CA">
          <w:rPr>
            <w:rFonts w:ascii="Open Sans" w:eastAsia="Open Sans" w:hAnsi="Open Sans" w:cs="Open Sans"/>
            <w:color w:val="0000FF"/>
            <w:sz w:val="22"/>
            <w:szCs w:val="22"/>
            <w:u w:val="single"/>
          </w:rPr>
          <w:t>Infojobs.net</w:t>
        </w:r>
      </w:hyperlink>
      <w:r w:rsidRPr="005D22CA">
        <w:rPr>
          <w:rFonts w:ascii="Open Sans" w:eastAsia="Open Sans" w:hAnsi="Open Sans" w:cs="Open Sans"/>
          <w:color w:val="000000"/>
          <w:sz w:val="22"/>
          <w:szCs w:val="22"/>
        </w:rPr>
        <w:t>), motor (</w:t>
      </w:r>
      <w:hyperlink r:id="rId20">
        <w:r w:rsidRPr="005D22CA">
          <w:rPr>
            <w:rFonts w:ascii="Open Sans" w:eastAsia="Open Sans" w:hAnsi="Open Sans" w:cs="Open Sans"/>
            <w:color w:val="0000FF"/>
            <w:sz w:val="22"/>
            <w:szCs w:val="22"/>
            <w:u w:val="single"/>
          </w:rPr>
          <w:t>coches.net</w:t>
        </w:r>
      </w:hyperlink>
      <w:r w:rsidRPr="005D22CA">
        <w:rPr>
          <w:rFonts w:ascii="Open Sans" w:eastAsia="Open Sans" w:hAnsi="Open Sans" w:cs="Open Sans"/>
          <w:color w:val="000000"/>
          <w:sz w:val="22"/>
          <w:szCs w:val="22"/>
        </w:rPr>
        <w:t> y </w:t>
      </w:r>
      <w:hyperlink r:id="rId21">
        <w:r w:rsidRPr="005D22CA">
          <w:rPr>
            <w:rFonts w:ascii="Open Sans" w:eastAsia="Open Sans" w:hAnsi="Open Sans" w:cs="Open Sans"/>
            <w:color w:val="0000FF"/>
            <w:sz w:val="22"/>
            <w:szCs w:val="22"/>
            <w:u w:val="single"/>
          </w:rPr>
          <w:t>motos.ne</w:t>
        </w:r>
      </w:hyperlink>
      <w:r w:rsidRPr="005D22CA">
        <w:rPr>
          <w:rFonts w:ascii="Open Sans" w:eastAsia="Open Sans" w:hAnsi="Open Sans" w:cs="Open Sans"/>
          <w:color w:val="0000FF"/>
          <w:sz w:val="22"/>
          <w:szCs w:val="22"/>
          <w:u w:val="single"/>
        </w:rPr>
        <w:t>t</w:t>
      </w:r>
      <w:r w:rsidRPr="005D22CA">
        <w:rPr>
          <w:rFonts w:ascii="Open Sans" w:eastAsia="Open Sans" w:hAnsi="Open Sans" w:cs="Open Sans"/>
          <w:color w:val="000000"/>
          <w:sz w:val="22"/>
          <w:szCs w:val="22"/>
        </w:rPr>
        <w:t>) y segunda mano (</w:t>
      </w:r>
      <w:hyperlink r:id="rId22">
        <w:r w:rsidRPr="005D22CA">
          <w:rPr>
            <w:rFonts w:ascii="Open Sans" w:eastAsia="Open Sans" w:hAnsi="Open Sans" w:cs="Open Sans"/>
            <w:color w:val="0000FF"/>
            <w:sz w:val="22"/>
            <w:szCs w:val="22"/>
            <w:u w:val="single"/>
          </w:rPr>
          <w:t>Milanuncios</w:t>
        </w:r>
      </w:hyperlink>
      <w:r w:rsidRPr="005D22CA">
        <w:rPr>
          <w:rFonts w:ascii="Open Sans" w:eastAsia="Open Sans" w:hAnsi="Open Sans" w:cs="Open Sans"/>
          <w:color w:val="000000"/>
          <w:sz w:val="22"/>
          <w:szCs w:val="22"/>
        </w:rPr>
        <w:t> y </w:t>
      </w:r>
      <w:hyperlink r:id="rId23">
        <w:r w:rsidRPr="005D22CA">
          <w:rPr>
            <w:rFonts w:ascii="Open Sans" w:eastAsia="Open Sans" w:hAnsi="Open Sans" w:cs="Open Sans"/>
            <w:color w:val="0000FF"/>
            <w:sz w:val="22"/>
            <w:szCs w:val="22"/>
            <w:u w:val="single"/>
          </w:rPr>
          <w:t>vibbo</w:t>
        </w:r>
      </w:hyperlink>
      <w:r w:rsidRPr="005D22CA">
        <w:rPr>
          <w:rFonts w:ascii="Open Sans" w:eastAsia="Open Sans" w:hAnsi="Open Sans" w:cs="Open Sans"/>
          <w:color w:val="000000"/>
          <w:sz w:val="22"/>
          <w:szCs w:val="22"/>
        </w:rPr>
        <w:t>). Sus más de 18 millones de usuarios al mes sitúan Adevinta entre las diez compañías con mayor audiencia de Internet en España (y la mayor empresa digital española). Adevinta cuenta en la actualidad con una plantilla de más de 1.000 empleados en España. </w:t>
      </w:r>
    </w:p>
    <w:p w14:paraId="0B1551C4" w14:textId="77777777" w:rsidR="000A772E" w:rsidRDefault="000A772E" w:rsidP="000A772E">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1"/>
          <w:szCs w:val="21"/>
        </w:rPr>
      </w:pPr>
    </w:p>
    <w:p w14:paraId="4BEE8A65" w14:textId="77777777" w:rsidR="000A772E" w:rsidRDefault="000A772E" w:rsidP="000A772E">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1"/>
          <w:szCs w:val="21"/>
        </w:rPr>
      </w:pPr>
      <w:r>
        <w:rPr>
          <w:rFonts w:ascii="Open Sans" w:eastAsia="Open Sans" w:hAnsi="Open Sans" w:cs="Open Sans"/>
          <w:color w:val="000000"/>
          <w:sz w:val="21"/>
          <w:szCs w:val="21"/>
        </w:rPr>
        <w:t xml:space="preserve">Toda nuestra información la puedes encontrar en nuestra </w:t>
      </w:r>
      <w:hyperlink r:id="rId24" w:history="1">
        <w:r w:rsidRPr="002B2258">
          <w:rPr>
            <w:rStyle w:val="Hipervnculo"/>
            <w:rFonts w:ascii="Open Sans" w:eastAsia="Open Sans" w:hAnsi="Open Sans" w:cs="Open Sans"/>
            <w:sz w:val="21"/>
            <w:szCs w:val="21"/>
          </w:rPr>
          <w:t>Sala de Prensa</w:t>
        </w:r>
      </w:hyperlink>
      <w:r>
        <w:rPr>
          <w:rFonts w:ascii="Open Sans" w:eastAsia="Open Sans" w:hAnsi="Open Sans" w:cs="Open Sans"/>
          <w:color w:val="000000"/>
          <w:sz w:val="21"/>
          <w:szCs w:val="21"/>
        </w:rPr>
        <w:t xml:space="preserve">. </w:t>
      </w:r>
    </w:p>
    <w:p w14:paraId="19401564" w14:textId="77777777" w:rsidR="000A772E" w:rsidRDefault="000A772E" w:rsidP="000A772E">
      <w:pPr>
        <w:pBdr>
          <w:top w:val="nil"/>
          <w:left w:val="nil"/>
          <w:bottom w:val="nil"/>
          <w:right w:val="nil"/>
          <w:between w:val="nil"/>
        </w:pBdr>
        <w:shd w:val="clear" w:color="auto" w:fill="FFFFFF"/>
        <w:spacing w:line="276" w:lineRule="auto"/>
        <w:ind w:right="-574"/>
        <w:jc w:val="both"/>
        <w:rPr>
          <w:rFonts w:ascii="Open Sans" w:eastAsia="Open Sans" w:hAnsi="Open Sans" w:cs="Open Sans"/>
          <w:color w:val="000000"/>
          <w:sz w:val="22"/>
          <w:szCs w:val="22"/>
        </w:rPr>
      </w:pPr>
    </w:p>
    <w:p w14:paraId="4A8168DB" w14:textId="77777777" w:rsidR="000A772E" w:rsidRDefault="000A772E" w:rsidP="000A772E">
      <w:pPr>
        <w:spacing w:line="276" w:lineRule="auto"/>
        <w:ind w:right="-574"/>
        <w:rPr>
          <w:rFonts w:ascii="Open Sans Light" w:eastAsia="Open Sans Light" w:hAnsi="Open Sans Light" w:cs="Open Sans Light"/>
          <w:b/>
          <w:color w:val="303AB2"/>
        </w:rPr>
      </w:pPr>
    </w:p>
    <w:p w14:paraId="61A076FE" w14:textId="77777777" w:rsidR="000A772E" w:rsidRDefault="000A772E" w:rsidP="000A772E">
      <w:pPr>
        <w:spacing w:line="276" w:lineRule="auto"/>
        <w:ind w:right="-574"/>
        <w:rPr>
          <w:rFonts w:ascii="Open Sans Light" w:eastAsia="Open Sans Light" w:hAnsi="Open Sans Light" w:cs="Open Sans Light"/>
          <w:b/>
          <w:color w:val="303AB2"/>
        </w:rPr>
      </w:pPr>
      <w:r w:rsidRPr="002B2258">
        <w:rPr>
          <w:rFonts w:ascii="Open Sans Light" w:eastAsia="Open Sans Light" w:hAnsi="Open Sans Light" w:cs="Open Sans Light"/>
          <w:b/>
          <w:color w:val="303AB2"/>
          <w:sz w:val="26"/>
          <w:szCs w:val="26"/>
        </w:rPr>
        <w:t xml:space="preserve">Llorente y Cuenca    </w:t>
      </w:r>
      <w:r w:rsidRPr="002B2258">
        <w:rPr>
          <w:rFonts w:ascii="Open Sans Light" w:eastAsia="Open Sans Light" w:hAnsi="Open Sans Light" w:cs="Open Sans Light"/>
          <w:b/>
          <w:color w:val="303AB2"/>
          <w:sz w:val="26"/>
          <w:szCs w:val="26"/>
        </w:rPr>
        <w:tab/>
      </w:r>
      <w:r>
        <w:rPr>
          <w:rFonts w:ascii="Open Sans Light" w:eastAsia="Open Sans Light" w:hAnsi="Open Sans Light" w:cs="Open Sans Light"/>
          <w:b/>
          <w:color w:val="303AB2"/>
        </w:rPr>
        <w:tab/>
      </w:r>
      <w:r>
        <w:rPr>
          <w:rFonts w:ascii="Open Sans Light" w:eastAsia="Open Sans Light" w:hAnsi="Open Sans Light" w:cs="Open Sans Light"/>
          <w:b/>
          <w:color w:val="303AB2"/>
        </w:rPr>
        <w:tab/>
        <w:t xml:space="preserve">     </w:t>
      </w:r>
      <w:r w:rsidRPr="002B2258">
        <w:rPr>
          <w:rFonts w:ascii="Open Sans Light" w:eastAsia="Open Sans Light" w:hAnsi="Open Sans Light" w:cs="Open Sans Light"/>
          <w:b/>
          <w:color w:val="303AB2"/>
          <w:sz w:val="26"/>
          <w:szCs w:val="26"/>
        </w:rPr>
        <w:t xml:space="preserve"> Departamento Comunicación Fotocasa</w:t>
      </w:r>
    </w:p>
    <w:p w14:paraId="6401DB84" w14:textId="77777777" w:rsidR="000A772E" w:rsidRDefault="000A772E" w:rsidP="000A772E">
      <w:pPr>
        <w:pBdr>
          <w:top w:val="nil"/>
          <w:left w:val="nil"/>
          <w:bottom w:val="nil"/>
          <w:right w:val="nil"/>
          <w:between w:val="nil"/>
        </w:pBdr>
        <w:shd w:val="clear" w:color="auto" w:fill="FFFFFF"/>
        <w:spacing w:line="276" w:lineRule="auto"/>
        <w:ind w:right="-574"/>
        <w:rPr>
          <w:rFonts w:ascii="Open Sans" w:eastAsia="Open Sans" w:hAnsi="Open Sans" w:cs="Open Sans"/>
          <w:b/>
          <w:color w:val="000000"/>
          <w:sz w:val="21"/>
          <w:szCs w:val="21"/>
        </w:rPr>
      </w:pPr>
      <w:r w:rsidRPr="002B2258">
        <w:rPr>
          <w:rFonts w:ascii="Open Sans" w:eastAsia="Open Sans" w:hAnsi="Open Sans" w:cs="Open Sans"/>
          <w:b/>
          <w:color w:val="000000"/>
          <w:sz w:val="21"/>
          <w:szCs w:val="21"/>
        </w:rPr>
        <w:t>Ramon Torné</w:t>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r>
      <w:r>
        <w:rPr>
          <w:rFonts w:ascii="Open Sans" w:eastAsia="Open Sans" w:hAnsi="Open Sans" w:cs="Open Sans"/>
          <w:b/>
          <w:color w:val="000000"/>
          <w:sz w:val="21"/>
          <w:szCs w:val="21"/>
        </w:rPr>
        <w:tab/>
        <w:t xml:space="preserve">                     Anaïs López </w:t>
      </w:r>
    </w:p>
    <w:p w14:paraId="364F50B6" w14:textId="77777777" w:rsidR="000A772E" w:rsidRDefault="00970A05" w:rsidP="000A772E">
      <w:pPr>
        <w:pBdr>
          <w:top w:val="nil"/>
          <w:left w:val="nil"/>
          <w:bottom w:val="nil"/>
          <w:right w:val="nil"/>
          <w:between w:val="nil"/>
        </w:pBdr>
        <w:shd w:val="clear" w:color="auto" w:fill="FFFFFF"/>
        <w:spacing w:line="276" w:lineRule="auto"/>
        <w:ind w:right="-574"/>
        <w:rPr>
          <w:rFonts w:ascii="Open Sans" w:eastAsia="Open Sans" w:hAnsi="Open Sans" w:cs="Open Sans"/>
          <w:color w:val="0000FF"/>
          <w:sz w:val="21"/>
          <w:szCs w:val="21"/>
          <w:u w:val="single"/>
        </w:rPr>
      </w:pPr>
      <w:hyperlink r:id="rId25" w:history="1">
        <w:r w:rsidR="000A772E" w:rsidRPr="00CE2942">
          <w:rPr>
            <w:rStyle w:val="Hipervnculo"/>
            <w:rFonts w:ascii="Open Sans" w:eastAsia="Open Sans" w:hAnsi="Open Sans" w:cs="Open Sans"/>
            <w:sz w:val="21"/>
            <w:szCs w:val="21"/>
          </w:rPr>
          <w:t>rtorne@llorenteycuenca.com</w:t>
        </w:r>
      </w:hyperlink>
      <w:r w:rsidR="000A772E">
        <w:rPr>
          <w:rFonts w:ascii="Open Sans" w:eastAsia="Open Sans" w:hAnsi="Open Sans" w:cs="Open Sans"/>
          <w:color w:val="0000FF"/>
          <w:sz w:val="21"/>
          <w:szCs w:val="21"/>
        </w:rPr>
        <w:tab/>
      </w:r>
      <w:r w:rsidR="000A772E">
        <w:rPr>
          <w:rFonts w:ascii="Open Sans" w:eastAsia="Open Sans" w:hAnsi="Open Sans" w:cs="Open Sans"/>
          <w:color w:val="0000FF"/>
          <w:sz w:val="21"/>
          <w:szCs w:val="21"/>
        </w:rPr>
        <w:tab/>
      </w:r>
      <w:r w:rsidR="000A772E">
        <w:rPr>
          <w:rFonts w:ascii="Open Sans" w:eastAsia="Open Sans" w:hAnsi="Open Sans" w:cs="Open Sans"/>
          <w:color w:val="0000FF"/>
          <w:sz w:val="21"/>
          <w:szCs w:val="21"/>
        </w:rPr>
        <w:tab/>
        <w:t xml:space="preserve">                                  </w:t>
      </w:r>
      <w:hyperlink r:id="rId26" w:history="1">
        <w:r w:rsidR="000A772E" w:rsidRPr="00CE2942">
          <w:rPr>
            <w:rStyle w:val="Hipervnculo"/>
            <w:rFonts w:ascii="Open Sans" w:eastAsia="Open Sans" w:hAnsi="Open Sans" w:cs="Open Sans"/>
            <w:sz w:val="21"/>
            <w:szCs w:val="21"/>
          </w:rPr>
          <w:t>comunicacion@fotocasa.es</w:t>
        </w:r>
      </w:hyperlink>
    </w:p>
    <w:p w14:paraId="1BD83654" w14:textId="77777777" w:rsidR="000A772E" w:rsidRDefault="000A772E" w:rsidP="000A772E">
      <w:pPr>
        <w:pBdr>
          <w:top w:val="nil"/>
          <w:left w:val="nil"/>
          <w:bottom w:val="nil"/>
          <w:right w:val="nil"/>
          <w:between w:val="nil"/>
        </w:pBdr>
        <w:shd w:val="clear" w:color="auto" w:fill="FFFFFF"/>
        <w:spacing w:line="276" w:lineRule="auto"/>
        <w:ind w:right="-574"/>
        <w:rPr>
          <w:rFonts w:ascii="Open Sans" w:eastAsia="Open Sans" w:hAnsi="Open Sans" w:cs="Open Sans"/>
          <w:color w:val="000000"/>
          <w:sz w:val="21"/>
          <w:szCs w:val="21"/>
        </w:rPr>
      </w:pPr>
      <w:r w:rsidRPr="002B2258">
        <w:rPr>
          <w:rFonts w:ascii="Open Sans" w:eastAsia="Open Sans" w:hAnsi="Open Sans" w:cs="Open Sans"/>
          <w:color w:val="000000"/>
          <w:sz w:val="21"/>
          <w:szCs w:val="21"/>
        </w:rPr>
        <w:t>638</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68</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19</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85</w:t>
      </w:r>
      <w:r>
        <w:rPr>
          <w:rFonts w:ascii="Open Sans" w:eastAsia="Open Sans" w:hAnsi="Open Sans" w:cs="Open Sans"/>
          <w:color w:val="000000"/>
          <w:sz w:val="21"/>
          <w:szCs w:val="21"/>
        </w:rPr>
        <w:t xml:space="preserve">      </w:t>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r>
      <w:r>
        <w:rPr>
          <w:rFonts w:ascii="Open Sans" w:eastAsia="Open Sans" w:hAnsi="Open Sans" w:cs="Open Sans"/>
          <w:color w:val="000000"/>
          <w:sz w:val="21"/>
          <w:szCs w:val="21"/>
        </w:rPr>
        <w:tab/>
        <w:t xml:space="preserve">         620 66 29 26</w:t>
      </w:r>
    </w:p>
    <w:p w14:paraId="50A8F0AF" w14:textId="77777777" w:rsidR="000A772E" w:rsidRDefault="000A772E" w:rsidP="000A772E">
      <w:pPr>
        <w:shd w:val="clear" w:color="auto" w:fill="FFFFFF"/>
        <w:rPr>
          <w:rFonts w:ascii="Open Sans" w:eastAsia="Open Sans" w:hAnsi="Open Sans" w:cs="Open Sans"/>
          <w:color w:val="0000FF"/>
          <w:sz w:val="21"/>
          <w:szCs w:val="21"/>
          <w:u w:val="single"/>
        </w:rPr>
      </w:pPr>
      <w:r>
        <w:rPr>
          <w:rFonts w:ascii="Arial" w:hAnsi="Arial" w:cs="Arial"/>
          <w:color w:val="222222"/>
        </w:rPr>
        <w:tab/>
      </w:r>
      <w:r>
        <w:rPr>
          <w:rFonts w:ascii="Arial" w:hAnsi="Arial" w:cs="Arial"/>
          <w:color w:val="222222"/>
        </w:rPr>
        <w:tab/>
        <w:t xml:space="preserve">                </w:t>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r>
      <w:r>
        <w:rPr>
          <w:rFonts w:ascii="Arial" w:hAnsi="Arial" w:cs="Arial"/>
          <w:color w:val="222222"/>
        </w:rPr>
        <w:tab/>
        <w:t xml:space="preserve">     </w:t>
      </w:r>
    </w:p>
    <w:p w14:paraId="7C263DF1" w14:textId="77777777" w:rsidR="000A772E" w:rsidRPr="002B2258" w:rsidRDefault="000A772E" w:rsidP="000A772E">
      <w:pPr>
        <w:shd w:val="clear" w:color="auto" w:fill="FFFFFF"/>
        <w:rPr>
          <w:rFonts w:ascii="Open Sans" w:eastAsia="Open Sans" w:hAnsi="Open Sans" w:cs="Open Sans"/>
          <w:b/>
          <w:color w:val="000000"/>
          <w:sz w:val="21"/>
          <w:szCs w:val="21"/>
        </w:rPr>
      </w:pPr>
      <w:r w:rsidRPr="002B2258">
        <w:rPr>
          <w:rFonts w:ascii="Open Sans" w:eastAsia="Open Sans" w:hAnsi="Open Sans" w:cs="Open Sans"/>
          <w:b/>
          <w:color w:val="000000"/>
          <w:sz w:val="21"/>
          <w:szCs w:val="21"/>
        </w:rPr>
        <w:t>Fanny Merino</w:t>
      </w:r>
    </w:p>
    <w:p w14:paraId="6223349E" w14:textId="77777777" w:rsidR="000A772E" w:rsidRPr="002B2258" w:rsidRDefault="00970A05" w:rsidP="000A772E">
      <w:pPr>
        <w:shd w:val="clear" w:color="auto" w:fill="FFFFFF"/>
        <w:rPr>
          <w:rFonts w:ascii="Open Sans" w:eastAsia="Open Sans" w:hAnsi="Open Sans" w:cs="Open Sans"/>
          <w:color w:val="0000FF"/>
          <w:sz w:val="21"/>
          <w:szCs w:val="21"/>
        </w:rPr>
      </w:pPr>
      <w:hyperlink r:id="rId27" w:tgtFrame="_blank" w:history="1">
        <w:r w:rsidR="000A772E" w:rsidRPr="002B2258">
          <w:rPr>
            <w:rFonts w:ascii="Open Sans" w:eastAsia="Open Sans" w:hAnsi="Open Sans" w:cs="Open Sans"/>
            <w:color w:val="0000FF"/>
            <w:sz w:val="21"/>
            <w:szCs w:val="21"/>
          </w:rPr>
          <w:t>emerino@llorenteycuenca.com</w:t>
        </w:r>
      </w:hyperlink>
    </w:p>
    <w:p w14:paraId="7BA68B27" w14:textId="77777777" w:rsidR="000A772E" w:rsidRDefault="000A772E" w:rsidP="000A772E">
      <w:pPr>
        <w:shd w:val="clear" w:color="auto" w:fill="FFFFFF"/>
        <w:rPr>
          <w:rFonts w:ascii="Open Sans" w:eastAsia="Open Sans" w:hAnsi="Open Sans" w:cs="Open Sans"/>
          <w:color w:val="000000"/>
          <w:sz w:val="21"/>
          <w:szCs w:val="21"/>
        </w:rPr>
      </w:pPr>
      <w:r w:rsidRPr="002B2258">
        <w:rPr>
          <w:rFonts w:ascii="Open Sans" w:eastAsia="Open Sans" w:hAnsi="Open Sans" w:cs="Open Sans"/>
          <w:color w:val="000000"/>
          <w:sz w:val="21"/>
          <w:szCs w:val="21"/>
        </w:rPr>
        <w:t>663</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35</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69</w:t>
      </w:r>
      <w:r>
        <w:rPr>
          <w:rFonts w:ascii="Open Sans" w:eastAsia="Open Sans" w:hAnsi="Open Sans" w:cs="Open Sans"/>
          <w:color w:val="000000"/>
          <w:sz w:val="21"/>
          <w:szCs w:val="21"/>
        </w:rPr>
        <w:t xml:space="preserve"> </w:t>
      </w:r>
      <w:r w:rsidRPr="002B2258">
        <w:rPr>
          <w:rFonts w:ascii="Open Sans" w:eastAsia="Open Sans" w:hAnsi="Open Sans" w:cs="Open Sans"/>
          <w:color w:val="000000"/>
          <w:sz w:val="21"/>
          <w:szCs w:val="21"/>
        </w:rPr>
        <w:t>75 </w:t>
      </w:r>
      <w:bookmarkEnd w:id="0"/>
    </w:p>
    <w:p w14:paraId="08F1DA4F" w14:textId="35A871EE" w:rsidR="00B41A97" w:rsidRPr="00010ECE" w:rsidRDefault="00B41A97" w:rsidP="008B2524">
      <w:pPr>
        <w:spacing w:line="276" w:lineRule="auto"/>
        <w:ind w:right="-574"/>
        <w:jc w:val="right"/>
        <w:rPr>
          <w:rFonts w:ascii="Open Sans" w:hAnsi="Open Sans" w:cs="Open Sans"/>
          <w:color w:val="000000"/>
          <w:sz w:val="21"/>
          <w:szCs w:val="21"/>
        </w:rPr>
      </w:pPr>
    </w:p>
    <w:sectPr w:rsidR="00B41A97" w:rsidRPr="00010ECE" w:rsidSect="007A55E0">
      <w:footerReference w:type="default" r:id="rId2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83A76" w14:textId="77777777" w:rsidR="00970A05" w:rsidRDefault="00970A05" w:rsidP="00DD4CA4">
      <w:r>
        <w:separator/>
      </w:r>
    </w:p>
  </w:endnote>
  <w:endnote w:type="continuationSeparator" w:id="0">
    <w:p w14:paraId="5BC8EFE5" w14:textId="77777777" w:rsidR="00970A05" w:rsidRDefault="00970A05" w:rsidP="00DD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ational">
    <w:altName w:val="Corbel"/>
    <w:panose1 w:val="00000000000000000000"/>
    <w:charset w:val="4D"/>
    <w:family w:val="auto"/>
    <w:notTrueType/>
    <w:pitch w:val="variable"/>
    <w:sig w:usb0="00000001" w:usb1="5000207B" w:usb2="00000010" w:usb3="00000000" w:csb0="0000009B" w:csb1="00000000"/>
  </w:font>
  <w:font w:name="Open Sans">
    <w:altName w:val="Tahoma"/>
    <w:charset w:val="00"/>
    <w:family w:val="swiss"/>
    <w:pitch w:val="variable"/>
    <w:sig w:usb0="E00002EF" w:usb1="4000205B" w:usb2="00000028" w:usb3="00000000" w:csb0="0000019F" w:csb1="00000000"/>
  </w:font>
  <w:font w:name="Open Sans Light">
    <w:altName w:val="Corbel"/>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ABC2" w14:textId="77777777" w:rsidR="00033869" w:rsidRDefault="00033869">
    <w:pPr>
      <w:pStyle w:val="Piedepgina"/>
    </w:pPr>
    <w:r>
      <w:rPr>
        <w:rFonts w:ascii="Open Sans" w:hAnsi="Open Sans" w:cs="Open Sans"/>
        <w:noProof/>
        <w:color w:val="000000"/>
        <w:sz w:val="21"/>
        <w:szCs w:val="21"/>
        <w:lang w:val="es-ES" w:eastAsia="es-ES" w:bidi="ks-Deva"/>
      </w:rPr>
      <w:drawing>
        <wp:anchor distT="0" distB="0" distL="114300" distR="114300" simplePos="0" relativeHeight="251659264" behindDoc="1" locked="0" layoutInCell="1" allowOverlap="1" wp14:anchorId="71BEF574" wp14:editId="45DB4718">
          <wp:simplePos x="0" y="0"/>
          <wp:positionH relativeFrom="column">
            <wp:posOffset>-1068070</wp:posOffset>
          </wp:positionH>
          <wp:positionV relativeFrom="paragraph">
            <wp:posOffset>174608</wp:posOffset>
          </wp:positionV>
          <wp:extent cx="7670550" cy="451315"/>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Nd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0550" cy="451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95BD1" w14:textId="77777777" w:rsidR="00970A05" w:rsidRDefault="00970A05" w:rsidP="00DD4CA4">
      <w:r>
        <w:separator/>
      </w:r>
    </w:p>
  </w:footnote>
  <w:footnote w:type="continuationSeparator" w:id="0">
    <w:p w14:paraId="580E6B3A" w14:textId="77777777" w:rsidR="00970A05" w:rsidRDefault="00970A05" w:rsidP="00DD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57E20"/>
    <w:multiLevelType w:val="hybridMultilevel"/>
    <w:tmpl w:val="C30C5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6F5BC2"/>
    <w:multiLevelType w:val="multilevel"/>
    <w:tmpl w:val="E13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22EA9"/>
    <w:multiLevelType w:val="hybridMultilevel"/>
    <w:tmpl w:val="A7CA6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F24275"/>
    <w:multiLevelType w:val="hybridMultilevel"/>
    <w:tmpl w:val="8CE6CA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B61786"/>
    <w:multiLevelType w:val="multilevel"/>
    <w:tmpl w:val="3C4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7C4E6B"/>
    <w:multiLevelType w:val="hybridMultilevel"/>
    <w:tmpl w:val="15ACB4E4"/>
    <w:lvl w:ilvl="0" w:tplc="3C30796C">
      <w:start w:val="1"/>
      <w:numFmt w:val="bullet"/>
      <w:lvlText w:val=""/>
      <w:lvlJc w:val="left"/>
      <w:pPr>
        <w:ind w:left="720" w:hanging="360"/>
      </w:pPr>
      <w:rPr>
        <w:rFonts w:ascii="Symbol" w:hAnsi="Symbol" w:hint="default"/>
        <w:color w:val="303AB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7"/>
    <w:rsid w:val="0000483C"/>
    <w:rsid w:val="00010ECE"/>
    <w:rsid w:val="00010FB9"/>
    <w:rsid w:val="0001593A"/>
    <w:rsid w:val="00017A0D"/>
    <w:rsid w:val="0002125B"/>
    <w:rsid w:val="00033869"/>
    <w:rsid w:val="00036F11"/>
    <w:rsid w:val="000404F2"/>
    <w:rsid w:val="000510FF"/>
    <w:rsid w:val="00053C94"/>
    <w:rsid w:val="0006367D"/>
    <w:rsid w:val="0007393B"/>
    <w:rsid w:val="00076893"/>
    <w:rsid w:val="000834D8"/>
    <w:rsid w:val="000955C6"/>
    <w:rsid w:val="000A3AA4"/>
    <w:rsid w:val="000A772E"/>
    <w:rsid w:val="000A7FC6"/>
    <w:rsid w:val="000B7C1C"/>
    <w:rsid w:val="000C16D2"/>
    <w:rsid w:val="000C210E"/>
    <w:rsid w:val="000D1933"/>
    <w:rsid w:val="000F7A91"/>
    <w:rsid w:val="00101A7A"/>
    <w:rsid w:val="0010410E"/>
    <w:rsid w:val="00107AD4"/>
    <w:rsid w:val="00130CF5"/>
    <w:rsid w:val="00132420"/>
    <w:rsid w:val="00141024"/>
    <w:rsid w:val="00142B33"/>
    <w:rsid w:val="00146A5C"/>
    <w:rsid w:val="00151BF6"/>
    <w:rsid w:val="00152FC9"/>
    <w:rsid w:val="001615A3"/>
    <w:rsid w:val="00172C10"/>
    <w:rsid w:val="00186EEB"/>
    <w:rsid w:val="0019361B"/>
    <w:rsid w:val="00194B3B"/>
    <w:rsid w:val="00196AB8"/>
    <w:rsid w:val="00197A6D"/>
    <w:rsid w:val="001A1F5E"/>
    <w:rsid w:val="001A604D"/>
    <w:rsid w:val="001C61AB"/>
    <w:rsid w:val="001C79E5"/>
    <w:rsid w:val="001E0C8F"/>
    <w:rsid w:val="001E5FCD"/>
    <w:rsid w:val="001F723A"/>
    <w:rsid w:val="002067CC"/>
    <w:rsid w:val="00206FEE"/>
    <w:rsid w:val="00210B19"/>
    <w:rsid w:val="00213781"/>
    <w:rsid w:val="00215AE6"/>
    <w:rsid w:val="002220D0"/>
    <w:rsid w:val="002222F6"/>
    <w:rsid w:val="002236B8"/>
    <w:rsid w:val="0022457A"/>
    <w:rsid w:val="00224A5C"/>
    <w:rsid w:val="00230636"/>
    <w:rsid w:val="00232411"/>
    <w:rsid w:val="00247090"/>
    <w:rsid w:val="00247C61"/>
    <w:rsid w:val="00276FC9"/>
    <w:rsid w:val="002827E4"/>
    <w:rsid w:val="0029335C"/>
    <w:rsid w:val="002A35C0"/>
    <w:rsid w:val="002A372D"/>
    <w:rsid w:val="002A45EB"/>
    <w:rsid w:val="002B2115"/>
    <w:rsid w:val="002B2A87"/>
    <w:rsid w:val="002B712D"/>
    <w:rsid w:val="002C23B0"/>
    <w:rsid w:val="002D1A36"/>
    <w:rsid w:val="002D3079"/>
    <w:rsid w:val="002D774E"/>
    <w:rsid w:val="002E0625"/>
    <w:rsid w:val="002E4FC1"/>
    <w:rsid w:val="002E7255"/>
    <w:rsid w:val="002E72E6"/>
    <w:rsid w:val="002E79CF"/>
    <w:rsid w:val="002F1967"/>
    <w:rsid w:val="0030676B"/>
    <w:rsid w:val="00310731"/>
    <w:rsid w:val="00313E41"/>
    <w:rsid w:val="00314A58"/>
    <w:rsid w:val="00316DBC"/>
    <w:rsid w:val="00333462"/>
    <w:rsid w:val="00360C0A"/>
    <w:rsid w:val="00362E05"/>
    <w:rsid w:val="003701F2"/>
    <w:rsid w:val="00370762"/>
    <w:rsid w:val="00383D67"/>
    <w:rsid w:val="00387B2A"/>
    <w:rsid w:val="00395E0D"/>
    <w:rsid w:val="003A1C35"/>
    <w:rsid w:val="003A2FBE"/>
    <w:rsid w:val="003A7A2A"/>
    <w:rsid w:val="003D4229"/>
    <w:rsid w:val="003D538A"/>
    <w:rsid w:val="003D6206"/>
    <w:rsid w:val="003E07EB"/>
    <w:rsid w:val="003E2AB9"/>
    <w:rsid w:val="003E5965"/>
    <w:rsid w:val="003F1682"/>
    <w:rsid w:val="00401265"/>
    <w:rsid w:val="00424123"/>
    <w:rsid w:val="00435CE7"/>
    <w:rsid w:val="00450B0D"/>
    <w:rsid w:val="004569AF"/>
    <w:rsid w:val="004577E7"/>
    <w:rsid w:val="00457FBD"/>
    <w:rsid w:val="00463C2B"/>
    <w:rsid w:val="0047737D"/>
    <w:rsid w:val="00482B71"/>
    <w:rsid w:val="00494171"/>
    <w:rsid w:val="00494240"/>
    <w:rsid w:val="00495C3A"/>
    <w:rsid w:val="004B0DEC"/>
    <w:rsid w:val="004D6C58"/>
    <w:rsid w:val="004E0F1B"/>
    <w:rsid w:val="004F613F"/>
    <w:rsid w:val="005029E9"/>
    <w:rsid w:val="00503F5B"/>
    <w:rsid w:val="0051039E"/>
    <w:rsid w:val="00544C20"/>
    <w:rsid w:val="005453C2"/>
    <w:rsid w:val="00545590"/>
    <w:rsid w:val="00552965"/>
    <w:rsid w:val="005537CC"/>
    <w:rsid w:val="00555E5A"/>
    <w:rsid w:val="00561181"/>
    <w:rsid w:val="00572505"/>
    <w:rsid w:val="00581FA4"/>
    <w:rsid w:val="00587712"/>
    <w:rsid w:val="00591752"/>
    <w:rsid w:val="005A4CB5"/>
    <w:rsid w:val="005A6DEE"/>
    <w:rsid w:val="005A71EF"/>
    <w:rsid w:val="005E1E21"/>
    <w:rsid w:val="005E24F6"/>
    <w:rsid w:val="005E2BB1"/>
    <w:rsid w:val="00603A5C"/>
    <w:rsid w:val="00607C0B"/>
    <w:rsid w:val="00610C88"/>
    <w:rsid w:val="00616CC1"/>
    <w:rsid w:val="00633C82"/>
    <w:rsid w:val="00636675"/>
    <w:rsid w:val="00645328"/>
    <w:rsid w:val="006464DE"/>
    <w:rsid w:val="006639DE"/>
    <w:rsid w:val="006658D1"/>
    <w:rsid w:val="00665F87"/>
    <w:rsid w:val="00667505"/>
    <w:rsid w:val="0067613D"/>
    <w:rsid w:val="00676E9F"/>
    <w:rsid w:val="00687C73"/>
    <w:rsid w:val="006928CA"/>
    <w:rsid w:val="006B0A68"/>
    <w:rsid w:val="006B0F35"/>
    <w:rsid w:val="006B63FE"/>
    <w:rsid w:val="006D5798"/>
    <w:rsid w:val="006F2010"/>
    <w:rsid w:val="006F265F"/>
    <w:rsid w:val="006F6BF2"/>
    <w:rsid w:val="00700D43"/>
    <w:rsid w:val="00701073"/>
    <w:rsid w:val="007027AA"/>
    <w:rsid w:val="00733302"/>
    <w:rsid w:val="00753088"/>
    <w:rsid w:val="007557EE"/>
    <w:rsid w:val="0077429B"/>
    <w:rsid w:val="00780137"/>
    <w:rsid w:val="00793775"/>
    <w:rsid w:val="0079657B"/>
    <w:rsid w:val="007A2951"/>
    <w:rsid w:val="007A55E0"/>
    <w:rsid w:val="007A6F56"/>
    <w:rsid w:val="007D6E8A"/>
    <w:rsid w:val="007D700D"/>
    <w:rsid w:val="007F016C"/>
    <w:rsid w:val="00804E10"/>
    <w:rsid w:val="0080629C"/>
    <w:rsid w:val="0081449C"/>
    <w:rsid w:val="008157A4"/>
    <w:rsid w:val="0083320A"/>
    <w:rsid w:val="00851E5C"/>
    <w:rsid w:val="00865836"/>
    <w:rsid w:val="00886DA5"/>
    <w:rsid w:val="00897621"/>
    <w:rsid w:val="008B2524"/>
    <w:rsid w:val="008E0E61"/>
    <w:rsid w:val="008E4BDD"/>
    <w:rsid w:val="008F3A0B"/>
    <w:rsid w:val="008F7B44"/>
    <w:rsid w:val="00904209"/>
    <w:rsid w:val="00907987"/>
    <w:rsid w:val="00911C0D"/>
    <w:rsid w:val="00923772"/>
    <w:rsid w:val="00924D62"/>
    <w:rsid w:val="00926D74"/>
    <w:rsid w:val="00927A70"/>
    <w:rsid w:val="0093651E"/>
    <w:rsid w:val="0093735E"/>
    <w:rsid w:val="00940145"/>
    <w:rsid w:val="00941004"/>
    <w:rsid w:val="00941449"/>
    <w:rsid w:val="00942078"/>
    <w:rsid w:val="00944751"/>
    <w:rsid w:val="00944DA7"/>
    <w:rsid w:val="009503DB"/>
    <w:rsid w:val="00955D30"/>
    <w:rsid w:val="00970A05"/>
    <w:rsid w:val="0097295D"/>
    <w:rsid w:val="00977FF5"/>
    <w:rsid w:val="00986896"/>
    <w:rsid w:val="00986FF9"/>
    <w:rsid w:val="009A7C5D"/>
    <w:rsid w:val="009D0607"/>
    <w:rsid w:val="00A02A6D"/>
    <w:rsid w:val="00A05C97"/>
    <w:rsid w:val="00A066EF"/>
    <w:rsid w:val="00A0753F"/>
    <w:rsid w:val="00A11A84"/>
    <w:rsid w:val="00A12770"/>
    <w:rsid w:val="00A2289E"/>
    <w:rsid w:val="00A3360F"/>
    <w:rsid w:val="00A33E7A"/>
    <w:rsid w:val="00A52317"/>
    <w:rsid w:val="00A5416D"/>
    <w:rsid w:val="00A64479"/>
    <w:rsid w:val="00A73D4A"/>
    <w:rsid w:val="00A825E1"/>
    <w:rsid w:val="00A84CA7"/>
    <w:rsid w:val="00A87465"/>
    <w:rsid w:val="00A874B9"/>
    <w:rsid w:val="00AA021E"/>
    <w:rsid w:val="00AA561F"/>
    <w:rsid w:val="00AB2E4A"/>
    <w:rsid w:val="00AD09F6"/>
    <w:rsid w:val="00AD0C78"/>
    <w:rsid w:val="00AD62DD"/>
    <w:rsid w:val="00B03ABB"/>
    <w:rsid w:val="00B03BCA"/>
    <w:rsid w:val="00B078B2"/>
    <w:rsid w:val="00B10769"/>
    <w:rsid w:val="00B1136A"/>
    <w:rsid w:val="00B370CF"/>
    <w:rsid w:val="00B41A97"/>
    <w:rsid w:val="00B50A7C"/>
    <w:rsid w:val="00B551CA"/>
    <w:rsid w:val="00B73D94"/>
    <w:rsid w:val="00B75B7E"/>
    <w:rsid w:val="00B80FB1"/>
    <w:rsid w:val="00B81DAD"/>
    <w:rsid w:val="00B81F14"/>
    <w:rsid w:val="00B827BB"/>
    <w:rsid w:val="00BC1D19"/>
    <w:rsid w:val="00BF3936"/>
    <w:rsid w:val="00C02EB4"/>
    <w:rsid w:val="00C06719"/>
    <w:rsid w:val="00C20AF1"/>
    <w:rsid w:val="00C245ED"/>
    <w:rsid w:val="00C3631D"/>
    <w:rsid w:val="00C37B88"/>
    <w:rsid w:val="00C37E76"/>
    <w:rsid w:val="00C4589A"/>
    <w:rsid w:val="00C46AED"/>
    <w:rsid w:val="00C50D66"/>
    <w:rsid w:val="00C6780C"/>
    <w:rsid w:val="00C72710"/>
    <w:rsid w:val="00C817C1"/>
    <w:rsid w:val="00C82CF9"/>
    <w:rsid w:val="00C94A47"/>
    <w:rsid w:val="00CA2B2C"/>
    <w:rsid w:val="00CB0803"/>
    <w:rsid w:val="00CB2853"/>
    <w:rsid w:val="00CB35EC"/>
    <w:rsid w:val="00CB4AEC"/>
    <w:rsid w:val="00CD54E8"/>
    <w:rsid w:val="00CF33D3"/>
    <w:rsid w:val="00D04A01"/>
    <w:rsid w:val="00D13123"/>
    <w:rsid w:val="00D31A57"/>
    <w:rsid w:val="00D33644"/>
    <w:rsid w:val="00D3495E"/>
    <w:rsid w:val="00D55F98"/>
    <w:rsid w:val="00D63454"/>
    <w:rsid w:val="00D75E2C"/>
    <w:rsid w:val="00D82009"/>
    <w:rsid w:val="00D820C9"/>
    <w:rsid w:val="00D875A1"/>
    <w:rsid w:val="00D91C64"/>
    <w:rsid w:val="00DA180A"/>
    <w:rsid w:val="00DB0BC8"/>
    <w:rsid w:val="00DB0D52"/>
    <w:rsid w:val="00DB3B1F"/>
    <w:rsid w:val="00DC2D05"/>
    <w:rsid w:val="00DC33C0"/>
    <w:rsid w:val="00DC506F"/>
    <w:rsid w:val="00DC7AC3"/>
    <w:rsid w:val="00DD21D7"/>
    <w:rsid w:val="00DD4CA4"/>
    <w:rsid w:val="00DD5FB6"/>
    <w:rsid w:val="00DF0BBC"/>
    <w:rsid w:val="00E016BE"/>
    <w:rsid w:val="00E12CD9"/>
    <w:rsid w:val="00E1499B"/>
    <w:rsid w:val="00E217DF"/>
    <w:rsid w:val="00E232BD"/>
    <w:rsid w:val="00E337D0"/>
    <w:rsid w:val="00E35649"/>
    <w:rsid w:val="00E57541"/>
    <w:rsid w:val="00E63204"/>
    <w:rsid w:val="00E63340"/>
    <w:rsid w:val="00E76242"/>
    <w:rsid w:val="00E80EEB"/>
    <w:rsid w:val="00E825C2"/>
    <w:rsid w:val="00E8595A"/>
    <w:rsid w:val="00E869EB"/>
    <w:rsid w:val="00E86FC6"/>
    <w:rsid w:val="00EB525D"/>
    <w:rsid w:val="00ED1A5B"/>
    <w:rsid w:val="00ED6CFA"/>
    <w:rsid w:val="00EE021B"/>
    <w:rsid w:val="00EE2D1A"/>
    <w:rsid w:val="00F008AE"/>
    <w:rsid w:val="00F0394A"/>
    <w:rsid w:val="00F12643"/>
    <w:rsid w:val="00F16238"/>
    <w:rsid w:val="00F248C4"/>
    <w:rsid w:val="00F26A37"/>
    <w:rsid w:val="00F33918"/>
    <w:rsid w:val="00F44D0F"/>
    <w:rsid w:val="00F46532"/>
    <w:rsid w:val="00F47361"/>
    <w:rsid w:val="00F5226F"/>
    <w:rsid w:val="00F535CC"/>
    <w:rsid w:val="00F615E3"/>
    <w:rsid w:val="00F6414F"/>
    <w:rsid w:val="00F710DA"/>
    <w:rsid w:val="00F87F4F"/>
    <w:rsid w:val="00FB1FB5"/>
    <w:rsid w:val="00FB2813"/>
    <w:rsid w:val="00FB4C1E"/>
    <w:rsid w:val="00FB723E"/>
    <w:rsid w:val="00FD1EB1"/>
    <w:rsid w:val="00FF0912"/>
    <w:rsid w:val="00FF352D"/>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953EF"/>
  <w15:docId w15:val="{FCE28704-4540-42C2-B1A5-0E403154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ipervnculovisitado">
    <w:name w:val="FollowedHyperlink"/>
    <w:basedOn w:val="Fuentedeprrafopredeter"/>
    <w:uiPriority w:val="99"/>
    <w:semiHidden/>
    <w:unhideWhenUsed/>
    <w:rsid w:val="00C06719"/>
    <w:rPr>
      <w:color w:val="954F72" w:themeColor="followedHyperlink"/>
      <w:u w:val="single"/>
    </w:rPr>
  </w:style>
  <w:style w:type="character" w:customStyle="1" w:styleId="m6445620330082090912gmail-msohyperlink">
    <w:name w:val="m_6445620330082090912gmail-msohyperlink"/>
    <w:basedOn w:val="Fuentedeprrafopredeter"/>
    <w:rsid w:val="003E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7468">
      <w:bodyDiv w:val="1"/>
      <w:marLeft w:val="0"/>
      <w:marRight w:val="0"/>
      <w:marTop w:val="0"/>
      <w:marBottom w:val="0"/>
      <w:divBdr>
        <w:top w:val="none" w:sz="0" w:space="0" w:color="auto"/>
        <w:left w:val="none" w:sz="0" w:space="0" w:color="auto"/>
        <w:bottom w:val="none" w:sz="0" w:space="0" w:color="auto"/>
        <w:right w:val="none" w:sz="0" w:space="0" w:color="auto"/>
      </w:divBdr>
    </w:div>
    <w:div w:id="57561410">
      <w:bodyDiv w:val="1"/>
      <w:marLeft w:val="0"/>
      <w:marRight w:val="0"/>
      <w:marTop w:val="0"/>
      <w:marBottom w:val="0"/>
      <w:divBdr>
        <w:top w:val="none" w:sz="0" w:space="0" w:color="auto"/>
        <w:left w:val="none" w:sz="0" w:space="0" w:color="auto"/>
        <w:bottom w:val="none" w:sz="0" w:space="0" w:color="auto"/>
        <w:right w:val="none" w:sz="0" w:space="0" w:color="auto"/>
      </w:divBdr>
    </w:div>
    <w:div w:id="78601596">
      <w:bodyDiv w:val="1"/>
      <w:marLeft w:val="0"/>
      <w:marRight w:val="0"/>
      <w:marTop w:val="0"/>
      <w:marBottom w:val="0"/>
      <w:divBdr>
        <w:top w:val="none" w:sz="0" w:space="0" w:color="auto"/>
        <w:left w:val="none" w:sz="0" w:space="0" w:color="auto"/>
        <w:bottom w:val="none" w:sz="0" w:space="0" w:color="auto"/>
        <w:right w:val="none" w:sz="0" w:space="0" w:color="auto"/>
      </w:divBdr>
    </w:div>
    <w:div w:id="662467689">
      <w:bodyDiv w:val="1"/>
      <w:marLeft w:val="0"/>
      <w:marRight w:val="0"/>
      <w:marTop w:val="0"/>
      <w:marBottom w:val="0"/>
      <w:divBdr>
        <w:top w:val="none" w:sz="0" w:space="0" w:color="auto"/>
        <w:left w:val="none" w:sz="0" w:space="0" w:color="auto"/>
        <w:bottom w:val="none" w:sz="0" w:space="0" w:color="auto"/>
        <w:right w:val="none" w:sz="0" w:space="0" w:color="auto"/>
      </w:divBdr>
    </w:div>
    <w:div w:id="665943249">
      <w:bodyDiv w:val="1"/>
      <w:marLeft w:val="0"/>
      <w:marRight w:val="0"/>
      <w:marTop w:val="0"/>
      <w:marBottom w:val="0"/>
      <w:divBdr>
        <w:top w:val="none" w:sz="0" w:space="0" w:color="auto"/>
        <w:left w:val="none" w:sz="0" w:space="0" w:color="auto"/>
        <w:bottom w:val="none" w:sz="0" w:space="0" w:color="auto"/>
        <w:right w:val="none" w:sz="0" w:space="0" w:color="auto"/>
      </w:divBdr>
    </w:div>
    <w:div w:id="756483896">
      <w:bodyDiv w:val="1"/>
      <w:marLeft w:val="0"/>
      <w:marRight w:val="0"/>
      <w:marTop w:val="0"/>
      <w:marBottom w:val="0"/>
      <w:divBdr>
        <w:top w:val="none" w:sz="0" w:space="0" w:color="auto"/>
        <w:left w:val="none" w:sz="0" w:space="0" w:color="auto"/>
        <w:bottom w:val="none" w:sz="0" w:space="0" w:color="auto"/>
        <w:right w:val="none" w:sz="0" w:space="0" w:color="auto"/>
      </w:divBdr>
    </w:div>
    <w:div w:id="992103332">
      <w:bodyDiv w:val="1"/>
      <w:marLeft w:val="0"/>
      <w:marRight w:val="0"/>
      <w:marTop w:val="0"/>
      <w:marBottom w:val="0"/>
      <w:divBdr>
        <w:top w:val="none" w:sz="0" w:space="0" w:color="auto"/>
        <w:left w:val="none" w:sz="0" w:space="0" w:color="auto"/>
        <w:bottom w:val="none" w:sz="0" w:space="0" w:color="auto"/>
        <w:right w:val="none" w:sz="0" w:space="0" w:color="auto"/>
      </w:divBdr>
    </w:div>
    <w:div w:id="1076129089">
      <w:bodyDiv w:val="1"/>
      <w:marLeft w:val="0"/>
      <w:marRight w:val="0"/>
      <w:marTop w:val="0"/>
      <w:marBottom w:val="0"/>
      <w:divBdr>
        <w:top w:val="none" w:sz="0" w:space="0" w:color="auto"/>
        <w:left w:val="none" w:sz="0" w:space="0" w:color="auto"/>
        <w:bottom w:val="none" w:sz="0" w:space="0" w:color="auto"/>
        <w:right w:val="none" w:sz="0" w:space="0" w:color="auto"/>
      </w:divBdr>
    </w:div>
    <w:div w:id="1169442070">
      <w:bodyDiv w:val="1"/>
      <w:marLeft w:val="0"/>
      <w:marRight w:val="0"/>
      <w:marTop w:val="0"/>
      <w:marBottom w:val="0"/>
      <w:divBdr>
        <w:top w:val="none" w:sz="0" w:space="0" w:color="auto"/>
        <w:left w:val="none" w:sz="0" w:space="0" w:color="auto"/>
        <w:bottom w:val="none" w:sz="0" w:space="0" w:color="auto"/>
        <w:right w:val="none" w:sz="0" w:space="0" w:color="auto"/>
      </w:divBdr>
    </w:div>
    <w:div w:id="1267008615">
      <w:bodyDiv w:val="1"/>
      <w:marLeft w:val="0"/>
      <w:marRight w:val="0"/>
      <w:marTop w:val="0"/>
      <w:marBottom w:val="0"/>
      <w:divBdr>
        <w:top w:val="none" w:sz="0" w:space="0" w:color="auto"/>
        <w:left w:val="none" w:sz="0" w:space="0" w:color="auto"/>
        <w:bottom w:val="none" w:sz="0" w:space="0" w:color="auto"/>
        <w:right w:val="none" w:sz="0" w:space="0" w:color="auto"/>
      </w:divBdr>
    </w:div>
    <w:div w:id="1496335246">
      <w:bodyDiv w:val="1"/>
      <w:marLeft w:val="0"/>
      <w:marRight w:val="0"/>
      <w:marTop w:val="0"/>
      <w:marBottom w:val="0"/>
      <w:divBdr>
        <w:top w:val="none" w:sz="0" w:space="0" w:color="auto"/>
        <w:left w:val="none" w:sz="0" w:space="0" w:color="auto"/>
        <w:bottom w:val="none" w:sz="0" w:space="0" w:color="auto"/>
        <w:right w:val="none" w:sz="0" w:space="0" w:color="auto"/>
      </w:divBdr>
    </w:div>
    <w:div w:id="1765759017">
      <w:bodyDiv w:val="1"/>
      <w:marLeft w:val="0"/>
      <w:marRight w:val="0"/>
      <w:marTop w:val="0"/>
      <w:marBottom w:val="0"/>
      <w:divBdr>
        <w:top w:val="none" w:sz="0" w:space="0" w:color="auto"/>
        <w:left w:val="none" w:sz="0" w:space="0" w:color="auto"/>
        <w:bottom w:val="none" w:sz="0" w:space="0" w:color="auto"/>
        <w:right w:val="none" w:sz="0" w:space="0" w:color="auto"/>
      </w:divBdr>
    </w:div>
    <w:div w:id="1823428886">
      <w:bodyDiv w:val="1"/>
      <w:marLeft w:val="0"/>
      <w:marRight w:val="0"/>
      <w:marTop w:val="0"/>
      <w:marBottom w:val="0"/>
      <w:divBdr>
        <w:top w:val="none" w:sz="0" w:space="0" w:color="auto"/>
        <w:left w:val="none" w:sz="0" w:space="0" w:color="auto"/>
        <w:bottom w:val="none" w:sz="0" w:space="0" w:color="auto"/>
        <w:right w:val="none" w:sz="0" w:space="0" w:color="auto"/>
      </w:divBdr>
    </w:div>
    <w:div w:id="1903757828">
      <w:bodyDiv w:val="1"/>
      <w:marLeft w:val="0"/>
      <w:marRight w:val="0"/>
      <w:marTop w:val="0"/>
      <w:marBottom w:val="0"/>
      <w:divBdr>
        <w:top w:val="none" w:sz="0" w:space="0" w:color="auto"/>
        <w:left w:val="none" w:sz="0" w:space="0" w:color="auto"/>
        <w:bottom w:val="none" w:sz="0" w:space="0" w:color="auto"/>
        <w:right w:val="none" w:sz="0" w:space="0" w:color="auto"/>
      </w:divBdr>
    </w:div>
    <w:div w:id="1945570550">
      <w:bodyDiv w:val="1"/>
      <w:marLeft w:val="0"/>
      <w:marRight w:val="0"/>
      <w:marTop w:val="0"/>
      <w:marBottom w:val="0"/>
      <w:divBdr>
        <w:top w:val="none" w:sz="0" w:space="0" w:color="auto"/>
        <w:left w:val="none" w:sz="0" w:space="0" w:color="auto"/>
        <w:bottom w:val="none" w:sz="0" w:space="0" w:color="auto"/>
        <w:right w:val="none" w:sz="0" w:space="0" w:color="auto"/>
      </w:divBdr>
    </w:div>
    <w:div w:id="1981497691">
      <w:bodyDiv w:val="1"/>
      <w:marLeft w:val="0"/>
      <w:marRight w:val="0"/>
      <w:marTop w:val="0"/>
      <w:marBottom w:val="0"/>
      <w:divBdr>
        <w:top w:val="none" w:sz="0" w:space="0" w:color="auto"/>
        <w:left w:val="none" w:sz="0" w:space="0" w:color="auto"/>
        <w:bottom w:val="none" w:sz="0" w:space="0" w:color="auto"/>
        <w:right w:val="none" w:sz="0" w:space="0" w:color="auto"/>
      </w:divBdr>
    </w:div>
    <w:div w:id="2077244697">
      <w:bodyDiv w:val="1"/>
      <w:marLeft w:val="0"/>
      <w:marRight w:val="0"/>
      <w:marTop w:val="0"/>
      <w:marBottom w:val="0"/>
      <w:divBdr>
        <w:top w:val="none" w:sz="0" w:space="0" w:color="auto"/>
        <w:left w:val="none" w:sz="0" w:space="0" w:color="auto"/>
        <w:bottom w:val="none" w:sz="0" w:space="0" w:color="auto"/>
        <w:right w:val="none" w:sz="0" w:space="0" w:color="auto"/>
      </w:divBdr>
    </w:div>
    <w:div w:id="21340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tocasa.es/indice/" TargetMode="External"/><Relationship Id="rId18" Type="http://schemas.openxmlformats.org/officeDocument/2006/relationships/hyperlink" Target="https://www.habitaclia.com/" TargetMode="External"/><Relationship Id="rId26" Type="http://schemas.openxmlformats.org/officeDocument/2006/relationships/hyperlink" Target="mailto:comunicacion@fotocasa.es" TargetMode="External"/><Relationship Id="rId3" Type="http://schemas.openxmlformats.org/officeDocument/2006/relationships/styles" Target="styles.xml"/><Relationship Id="rId21" Type="http://schemas.openxmlformats.org/officeDocument/2006/relationships/hyperlink" Target="https://motos.coches.net/" TargetMode="External"/><Relationship Id="rId7" Type="http://schemas.openxmlformats.org/officeDocument/2006/relationships/endnotes" Target="endnotes.xml"/><Relationship Id="rId12" Type="http://schemas.openxmlformats.org/officeDocument/2006/relationships/hyperlink" Target="https://www.fotocasa.es" TargetMode="External"/><Relationship Id="rId17" Type="http://schemas.openxmlformats.org/officeDocument/2006/relationships/hyperlink" Target="http://www.fotocasa.es/" TargetMode="External"/><Relationship Id="rId25" Type="http://schemas.openxmlformats.org/officeDocument/2006/relationships/hyperlink" Target="mailto:rtorne@llorenteycuenca.com" TargetMode="External"/><Relationship Id="rId2" Type="http://schemas.openxmlformats.org/officeDocument/2006/relationships/numbering" Target="numbering.xml"/><Relationship Id="rId16" Type="http://schemas.openxmlformats.org/officeDocument/2006/relationships/hyperlink" Target="https://www.adevinta.com/" TargetMode="External"/><Relationship Id="rId20" Type="http://schemas.openxmlformats.org/officeDocument/2006/relationships/hyperlink" Target="https://www.coche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 TargetMode="External"/><Relationship Id="rId24" Type="http://schemas.openxmlformats.org/officeDocument/2006/relationships/hyperlink" Target="http://prensa.fotocasa.es" TargetMode="External"/><Relationship Id="rId5" Type="http://schemas.openxmlformats.org/officeDocument/2006/relationships/webSettings" Target="webSettings.xml"/><Relationship Id="rId15" Type="http://schemas.openxmlformats.org/officeDocument/2006/relationships/hyperlink" Target="https://www.fotocasa.es/es/quienes-somos/" TargetMode="External"/><Relationship Id="rId23" Type="http://schemas.openxmlformats.org/officeDocument/2006/relationships/hyperlink" Target="https://www.vibbo.com/"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infojobs.net/" TargetMode="External"/><Relationship Id="rId4" Type="http://schemas.openxmlformats.org/officeDocument/2006/relationships/settings" Target="settings.xml"/><Relationship Id="rId9" Type="http://schemas.openxmlformats.org/officeDocument/2006/relationships/hyperlink" Target="https://www.fotocasa.es/" TargetMode="External"/><Relationship Id="rId14" Type="http://schemas.openxmlformats.org/officeDocument/2006/relationships/hyperlink" Target="https://www.adevinta.com/" TargetMode="External"/><Relationship Id="rId22" Type="http://schemas.openxmlformats.org/officeDocument/2006/relationships/hyperlink" Target="https://www.milanuncios.es/" TargetMode="External"/><Relationship Id="rId27" Type="http://schemas.openxmlformats.org/officeDocument/2006/relationships/hyperlink" Target="mailto:emerino@llorenteycuenca.com"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prani\Google%20Drive\PATRI%20Y%20ELENA\001%20CLIENTES\01-SCHIBSTED\03-NOTAS%20DE%20PRENSA\02-ALQUILER\2020\10-OCTUBRE\PRENSA%20ALQUILER%20OCTUBRE%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ivotFmts>
      <c:pivotFmt>
        <c:idx val="0"/>
        <c:spPr>
          <a:solidFill>
            <a:schemeClr val="accent5">
              <a:lumMod val="40000"/>
              <a:lumOff val="60000"/>
            </a:schemeClr>
          </a:solidFill>
          <a:ln>
            <a:noFill/>
          </a:ln>
          <a:effectLst/>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61C2C7"/>
          </a:solidFill>
          <a:ln>
            <a:noFill/>
          </a:ln>
          <a:effectLst/>
        </c:spPr>
        <c:marker>
          <c:symbol val="none"/>
        </c:marker>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ext>
          </c:extLst>
        </c:dLbl>
      </c:pivotFmt>
      <c:pivotFmt>
        <c:idx val="2"/>
        <c:spPr>
          <a:solidFill>
            <a:schemeClr val="accent5">
              <a:lumMod val="75000"/>
            </a:schemeClr>
          </a:solidFill>
          <a:ln cap="rnd">
            <a:solidFill>
              <a:schemeClr val="accent5">
                <a:lumMod val="75000"/>
              </a:schemeClr>
            </a:solidFill>
          </a:ln>
          <a:effectLst/>
          <a:scene3d>
            <a:camera prst="orthographicFront"/>
            <a:lightRig rig="threePt" dir="t"/>
          </a:scene3d>
          <a:sp3d/>
        </c:spPr>
        <c:marker>
          <c:symbol val="none"/>
        </c:marker>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extLst>
        </c:dLbl>
      </c:pivotFmt>
      <c:pivotFmt>
        <c:idx val="3"/>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2885840854129021"/>
                </c:manualLayout>
              </c15:layout>
            </c:ext>
          </c:extLst>
        </c:dLbl>
      </c:pivotFmt>
      <c:pivotFmt>
        <c:idx val="4"/>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1946614470988752"/>
                </c:manualLayout>
              </c15:layout>
            </c:ext>
          </c:extLst>
        </c:dLbl>
      </c:pivotFmt>
      <c:pivotFmt>
        <c:idx val="5"/>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2885840854129024"/>
                </c:manualLayout>
              </c15:layout>
            </c:ext>
          </c:extLst>
        </c:dLbl>
      </c:pivotFmt>
      <c:pivotFmt>
        <c:idx val="6"/>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3423245171276671E-2"/>
                  <c:h val="0.11633539009941996"/>
                </c:manualLayout>
              </c15:layout>
            </c:ext>
          </c:extLst>
        </c:dLbl>
      </c:pivotFmt>
      <c:pivotFmt>
        <c:idx val="7"/>
        <c:dLbl>
          <c:idx val="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0"/>
          <c:showVal val="0"/>
          <c:showCatName val="0"/>
          <c:showSerName val="0"/>
          <c:showPercent val="0"/>
          <c:showBubbleSize val="0"/>
          <c:extLst>
            <c:ext xmlns:c15="http://schemas.microsoft.com/office/drawing/2012/chart" uri="{CE6537A1-D6FC-4f65-9D91-7224C49458BB}"/>
          </c:extLst>
        </c:dLbl>
      </c:pivotFmt>
      <c:pivotFmt>
        <c:idx val="8"/>
        <c:dLbl>
          <c:idx val="0"/>
          <c:numFmt formatCode="#,##0.0\ &quot;%&quot;" sourceLinked="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Open Sans"/>
                  <a:ea typeface="+mn-ea"/>
                  <a:cs typeface="+mn-cs"/>
                </a:defRPr>
              </a:pPr>
              <a:endParaRPr lang="es-ES"/>
            </a:p>
          </c:txPr>
          <c:showLegendKey val="1"/>
          <c:showVal val="1"/>
          <c:showCatName val="1"/>
          <c:showSerName val="1"/>
          <c:showPercent val="1"/>
          <c:showBubbleSize val="1"/>
          <c:extLst>
            <c:ext xmlns:c15="http://schemas.microsoft.com/office/drawing/2012/chart" uri="{CE6537A1-D6FC-4f65-9D91-7224C49458BB}"/>
          </c:extLst>
        </c:dLbl>
      </c:pivotFmt>
      <c:pivotFmt>
        <c:idx val="9"/>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9132221471931705E-2"/>
                  <c:h val="0.11579751872236264"/>
                </c:manualLayout>
              </c15:layout>
            </c:ext>
          </c:extLst>
        </c:dLbl>
      </c:pivotFmt>
      <c:pivotFmt>
        <c:idx val="10"/>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8.3122831284244206E-2"/>
                  <c:h val="0.13317993013091828"/>
                </c:manualLayout>
              </c15:layout>
            </c:ext>
          </c:extLst>
        </c:dLbl>
      </c:pivotFmt>
      <c:pivotFmt>
        <c:idx val="11"/>
        <c:dLbl>
          <c:idx val="0"/>
          <c:spPr>
            <a:solidFill>
              <a:srgbClr val="61C2C7"/>
            </a:solidFill>
            <a:ln>
              <a:no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bg1"/>
                  </a:solidFill>
                  <a:latin typeface="Open Sans"/>
                  <a:ea typeface="+mn-ea"/>
                  <a:cs typeface="+mn-cs"/>
                </a:defRPr>
              </a:pPr>
              <a:endParaRPr lang="es-E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flowChartConnector">
                  <a:avLst/>
                </a:prstGeom>
                <a:noFill/>
                <a:ln>
                  <a:noFill/>
                </a:ln>
              </c15:spPr>
              <c15:layout>
                <c:manualLayout>
                  <c:w val="7.7136916565775454E-2"/>
                  <c:h val="0.12970344784920718"/>
                </c:manualLayout>
              </c15:layout>
            </c:ext>
          </c:extLst>
        </c:dLbl>
      </c:pivotFmt>
    </c:pivotFmts>
    <c:plotArea>
      <c:layout>
        <c:manualLayout>
          <c:layoutTarget val="inner"/>
          <c:xMode val="edge"/>
          <c:yMode val="edge"/>
          <c:x val="3.6829246611553235E-2"/>
          <c:y val="5.4332915216672162E-2"/>
          <c:w val="0.93187213265646462"/>
          <c:h val="0.65249033970029302"/>
        </c:manualLayout>
      </c:layout>
      <c:barChart>
        <c:barDir val="col"/>
        <c:grouping val="clustered"/>
        <c:varyColors val="0"/>
        <c:ser>
          <c:idx val="0"/>
          <c:order val="0"/>
          <c:tx>
            <c:strRef>
              <c:f>Hoja6!$C$20</c:f>
              <c:strCache>
                <c:ptCount val="1"/>
                <c:pt idx="0">
                  <c:v> % mensual</c:v>
                </c:pt>
              </c:strCache>
            </c:strRef>
          </c:tx>
          <c:spPr>
            <a:solidFill>
              <a:srgbClr val="E7E6E6">
                <a:lumMod val="75000"/>
              </a:srgbClr>
            </a:solidFill>
            <a:ln>
              <a:noFill/>
            </a:ln>
            <a:effectLst/>
          </c:spPr>
          <c:invertIfNegative val="0"/>
          <c:dLbls>
            <c:dLbl>
              <c:idx val="2"/>
              <c:layout>
                <c:manualLayout>
                  <c:x val="0"/>
                  <c:y val="1.6771484778226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E4-4443-84F8-92B620DF2DCA}"/>
                </c:ext>
              </c:extLst>
            </c:dLbl>
            <c:dLbl>
              <c:idx val="4"/>
              <c:layout>
                <c:manualLayout>
                  <c:x val="-4.5678638464055784E-17"/>
                  <c:y val="1.609916147119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5E4-4443-84F8-92B620DF2DCA}"/>
                </c:ext>
              </c:extLst>
            </c:dLbl>
            <c:dLbl>
              <c:idx val="5"/>
              <c:layout>
                <c:manualLayout>
                  <c:x val="8.7205680827208178E-3"/>
                  <c:y val="2.6831231553528293E-2"/>
                </c:manualLayout>
              </c:layout>
              <c:showLegendKey val="0"/>
              <c:showVal val="1"/>
              <c:showCatName val="0"/>
              <c:showSerName val="0"/>
              <c:showPercent val="0"/>
              <c:showBubbleSize val="0"/>
              <c:extLst>
                <c:ext xmlns:c15="http://schemas.microsoft.com/office/drawing/2012/chart" uri="{CE6537A1-D6FC-4f65-9D91-7224C49458BB}">
                  <c15:layout>
                    <c:manualLayout>
                      <c:w val="7.6105741547474126E-2"/>
                      <c:h val="0.10542012004335249"/>
                    </c:manualLayout>
                  </c15:layout>
                </c:ext>
                <c:ext xmlns:c16="http://schemas.microsoft.com/office/drawing/2014/chart" uri="{C3380CC4-5D6E-409C-BE32-E72D297353CC}">
                  <c16:uniqueId val="{00000005-15E4-4443-84F8-92B620DF2DCA}"/>
                </c:ext>
              </c:extLst>
            </c:dLbl>
            <c:dLbl>
              <c:idx val="6"/>
              <c:layout>
                <c:manualLayout>
                  <c:x val="2.491590880777285E-3"/>
                  <c:y val="1.0733337699570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E4-4443-84F8-92B620DF2DCA}"/>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Hoja6!$A$22:$B$31</c:f>
              <c:multiLvlStrCache>
                <c:ptCount val="10"/>
                <c:lvl>
                  <c:pt idx="0">
                    <c:v>ene</c:v>
                  </c:pt>
                  <c:pt idx="1">
                    <c:v>feb</c:v>
                  </c:pt>
                  <c:pt idx="2">
                    <c:v>mar</c:v>
                  </c:pt>
                  <c:pt idx="3">
                    <c:v>abr</c:v>
                  </c:pt>
                  <c:pt idx="4">
                    <c:v>may</c:v>
                  </c:pt>
                  <c:pt idx="5">
                    <c:v>jun</c:v>
                  </c:pt>
                  <c:pt idx="6">
                    <c:v>jul</c:v>
                  </c:pt>
                  <c:pt idx="7">
                    <c:v>ago</c:v>
                  </c:pt>
                  <c:pt idx="8">
                    <c:v>sep</c:v>
                  </c:pt>
                  <c:pt idx="9">
                    <c:v>oct</c:v>
                  </c:pt>
                </c:lvl>
                <c:lvl>
                  <c:pt idx="0">
                    <c:v>2020</c:v>
                  </c:pt>
                  <c:pt idx="1">
                    <c:v>2020</c:v>
                  </c:pt>
                  <c:pt idx="2">
                    <c:v>2020</c:v>
                  </c:pt>
                  <c:pt idx="3">
                    <c:v>2020</c:v>
                  </c:pt>
                  <c:pt idx="4">
                    <c:v>2020</c:v>
                  </c:pt>
                  <c:pt idx="5">
                    <c:v>2020</c:v>
                  </c:pt>
                  <c:pt idx="6">
                    <c:v>2020</c:v>
                  </c:pt>
                  <c:pt idx="7">
                    <c:v>2020</c:v>
                  </c:pt>
                  <c:pt idx="8">
                    <c:v>2020</c:v>
                  </c:pt>
                  <c:pt idx="9">
                    <c:v>2020</c:v>
                  </c:pt>
                </c:lvl>
              </c:multiLvlStrCache>
            </c:multiLvlStrRef>
          </c:cat>
          <c:val>
            <c:numRef>
              <c:f>Hoja6!$C$22:$C$31</c:f>
              <c:numCache>
                <c:formatCode>0.0%</c:formatCode>
                <c:ptCount val="10"/>
                <c:pt idx="0">
                  <c:v>3.831041257367393E-2</c:v>
                </c:pt>
                <c:pt idx="1">
                  <c:v>8.5146641438032036E-3</c:v>
                </c:pt>
                <c:pt idx="2">
                  <c:v>1.6885553470919298E-2</c:v>
                </c:pt>
                <c:pt idx="3">
                  <c:v>1.6605166051660489E-2</c:v>
                </c:pt>
                <c:pt idx="4">
                  <c:v>-9.9818511796732692E-3</c:v>
                </c:pt>
                <c:pt idx="5">
                  <c:v>-8.2493125572868798E-3</c:v>
                </c:pt>
                <c:pt idx="6">
                  <c:v>-8.3179297597042387E-3</c:v>
                </c:pt>
                <c:pt idx="7">
                  <c:v>9.3196644920780865E-4</c:v>
                </c:pt>
                <c:pt idx="8">
                  <c:v>0</c:v>
                </c:pt>
                <c:pt idx="9">
                  <c:v>9.3109869646180511E-4</c:v>
                </c:pt>
              </c:numCache>
            </c:numRef>
          </c:val>
          <c:extLst>
            <c:ext xmlns:c16="http://schemas.microsoft.com/office/drawing/2014/chart" uri="{C3380CC4-5D6E-409C-BE32-E72D297353CC}">
              <c16:uniqueId val="{00000001-15E4-4443-84F8-92B620DF2DCA}"/>
            </c:ext>
          </c:extLst>
        </c:ser>
        <c:ser>
          <c:idx val="1"/>
          <c:order val="1"/>
          <c:tx>
            <c:strRef>
              <c:f>Hoja6!$D$20</c:f>
              <c:strCache>
                <c:ptCount val="1"/>
                <c:pt idx="0">
                  <c:v> % interanual</c:v>
                </c:pt>
              </c:strCache>
            </c:strRef>
          </c:tx>
          <c:spPr>
            <a:solidFill>
              <a:srgbClr val="4472C4">
                <a:lumMod val="75000"/>
              </a:srgb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Open Sans"/>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Hoja6!$A$22:$B$31</c:f>
              <c:multiLvlStrCache>
                <c:ptCount val="10"/>
                <c:lvl>
                  <c:pt idx="0">
                    <c:v>ene</c:v>
                  </c:pt>
                  <c:pt idx="1">
                    <c:v>feb</c:v>
                  </c:pt>
                  <c:pt idx="2">
                    <c:v>mar</c:v>
                  </c:pt>
                  <c:pt idx="3">
                    <c:v>abr</c:v>
                  </c:pt>
                  <c:pt idx="4">
                    <c:v>may</c:v>
                  </c:pt>
                  <c:pt idx="5">
                    <c:v>jun</c:v>
                  </c:pt>
                  <c:pt idx="6">
                    <c:v>jul</c:v>
                  </c:pt>
                  <c:pt idx="7">
                    <c:v>ago</c:v>
                  </c:pt>
                  <c:pt idx="8">
                    <c:v>sep</c:v>
                  </c:pt>
                  <c:pt idx="9">
                    <c:v>oct</c:v>
                  </c:pt>
                </c:lvl>
                <c:lvl>
                  <c:pt idx="0">
                    <c:v>2020</c:v>
                  </c:pt>
                  <c:pt idx="1">
                    <c:v>2020</c:v>
                  </c:pt>
                  <c:pt idx="2">
                    <c:v>2020</c:v>
                  </c:pt>
                  <c:pt idx="3">
                    <c:v>2020</c:v>
                  </c:pt>
                  <c:pt idx="4">
                    <c:v>2020</c:v>
                  </c:pt>
                  <c:pt idx="5">
                    <c:v>2020</c:v>
                  </c:pt>
                  <c:pt idx="6">
                    <c:v>2020</c:v>
                  </c:pt>
                  <c:pt idx="7">
                    <c:v>2020</c:v>
                  </c:pt>
                  <c:pt idx="8">
                    <c:v>2020</c:v>
                  </c:pt>
                  <c:pt idx="9">
                    <c:v>2020</c:v>
                  </c:pt>
                </c:lvl>
              </c:multiLvlStrCache>
            </c:multiLvlStrRef>
          </c:cat>
          <c:val>
            <c:numRef>
              <c:f>Hoja6!$D$22:$D$31</c:f>
              <c:numCache>
                <c:formatCode>0.0%</c:formatCode>
                <c:ptCount val="10"/>
                <c:pt idx="0">
                  <c:v>8.2991803278688575E-2</c:v>
                </c:pt>
                <c:pt idx="1">
                  <c:v>9.2213114754098394E-2</c:v>
                </c:pt>
                <c:pt idx="2">
                  <c:v>9.9391480730223178E-2</c:v>
                </c:pt>
                <c:pt idx="3">
                  <c:v>0.1086519114688129</c:v>
                </c:pt>
                <c:pt idx="4">
                  <c:v>9.7585513078470895E-2</c:v>
                </c:pt>
                <c:pt idx="5">
                  <c:v>9.0725806451612934E-2</c:v>
                </c:pt>
                <c:pt idx="6">
                  <c:v>7.9476861167002102E-2</c:v>
                </c:pt>
                <c:pt idx="7">
                  <c:v>8.5945399393326558E-2</c:v>
                </c:pt>
                <c:pt idx="8">
                  <c:v>0.1199165797705944</c:v>
                </c:pt>
                <c:pt idx="9">
                  <c:v>9.5820591233435212E-2</c:v>
                </c:pt>
              </c:numCache>
            </c:numRef>
          </c:val>
          <c:extLst>
            <c:ext xmlns:c16="http://schemas.microsoft.com/office/drawing/2014/chart" uri="{C3380CC4-5D6E-409C-BE32-E72D297353CC}">
              <c16:uniqueId val="{00000002-15E4-4443-84F8-92B620DF2DCA}"/>
            </c:ext>
          </c:extLst>
        </c:ser>
        <c:dLbls>
          <c:showLegendKey val="0"/>
          <c:showVal val="0"/>
          <c:showCatName val="0"/>
          <c:showSerName val="0"/>
          <c:showPercent val="0"/>
          <c:showBubbleSize val="0"/>
        </c:dLbls>
        <c:gapWidth val="219"/>
        <c:overlap val="-23"/>
        <c:axId val="714532111"/>
        <c:axId val="1020150815"/>
      </c:barChart>
      <c:catAx>
        <c:axId val="714532111"/>
        <c:scaling>
          <c:orientation val="minMax"/>
        </c:scaling>
        <c:delete val="0"/>
        <c:axPos val="b"/>
        <c:numFmt formatCode="General" sourceLinked="1"/>
        <c:majorTickMark val="none"/>
        <c:minorTickMark val="none"/>
        <c:tickLblPos val="low"/>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Open Sans"/>
                <a:ea typeface="+mn-ea"/>
                <a:cs typeface="+mn-cs"/>
              </a:defRPr>
            </a:pPr>
            <a:endParaRPr lang="es-ES"/>
          </a:p>
        </c:txPr>
        <c:crossAx val="1020150815"/>
        <c:crosses val="autoZero"/>
        <c:auto val="1"/>
        <c:lblAlgn val="ctr"/>
        <c:lblOffset val="100"/>
        <c:noMultiLvlLbl val="0"/>
      </c:catAx>
      <c:valAx>
        <c:axId val="1020150815"/>
        <c:scaling>
          <c:orientation val="minMax"/>
        </c:scaling>
        <c:delete val="1"/>
        <c:axPos val="l"/>
        <c:numFmt formatCode="0.0%" sourceLinked="1"/>
        <c:majorTickMark val="none"/>
        <c:minorTickMark val="none"/>
        <c:tickLblPos val="nextTo"/>
        <c:crossAx val="714532111"/>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chemeClr val="tx1">
                    <a:lumMod val="65000"/>
                    <a:lumOff val="35000"/>
                  </a:schemeClr>
                </a:solidFill>
                <a:latin typeface="Open Sans"/>
                <a:ea typeface="+mn-ea"/>
                <a:cs typeface="+mn-cs"/>
              </a:defRPr>
            </a:pPr>
            <a:endParaRPr lang="es-ES"/>
          </a:p>
        </c:txPr>
      </c:legendEntry>
      <c:layout>
        <c:manualLayout>
          <c:xMode val="edge"/>
          <c:yMode val="edge"/>
          <c:x val="8.1070809443353917E-2"/>
          <c:y val="0.90818309181362333"/>
          <c:w val="0.84466034053435624"/>
          <c:h val="8.981752026624925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Open Sans"/>
              <a:ea typeface="+mn-ea"/>
              <a:cs typeface="+mn-cs"/>
            </a:defRPr>
          </a:pPr>
          <a:endParaRPr lang="es-ES"/>
        </a:p>
      </c:txPr>
    </c:legend>
    <c:plotVisOnly val="1"/>
    <c:dispBlanksAs val="gap"/>
    <c:showDLblsOverMax val="0"/>
    <c:extLst/>
  </c:chart>
  <c:spPr>
    <a:solidFill>
      <a:schemeClr val="bg1"/>
    </a:solidFill>
    <a:ln w="9525" cap="flat" cmpd="sng" algn="ctr">
      <a:noFill/>
      <a:round/>
    </a:ln>
    <a:effectLst/>
  </c:spPr>
  <c:txPr>
    <a:bodyPr/>
    <a:lstStyle/>
    <a:p>
      <a:pPr>
        <a:defRPr sz="800" b="1">
          <a:latin typeface="Open Sans"/>
        </a:defRPr>
      </a:pPr>
      <a:endParaRPr lang="es-ES"/>
    </a:p>
  </c:txPr>
  <c:externalData r:id="rId4">
    <c:autoUpdate val="0"/>
  </c:externalData>
  <c:userShapes r:id="rId5"/>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0.0478</cdr:x>
      <cdr:y>0.62007</cdr:y>
    </cdr:from>
    <cdr:to>
      <cdr:x>0.94717</cdr:x>
      <cdr:y>0.62008</cdr:y>
    </cdr:to>
    <cdr:cxnSp macro="">
      <cdr:nvCxnSpPr>
        <cdr:cNvPr id="6" name="Conector recto 5">
          <a:extLst xmlns:a="http://schemas.openxmlformats.org/drawingml/2006/main">
            <a:ext uri="{FF2B5EF4-FFF2-40B4-BE49-F238E27FC236}">
              <a16:creationId xmlns:a16="http://schemas.microsoft.com/office/drawing/2014/main" id="{95FDED51-2779-4F3D-84FE-1C764C29DBAA}"/>
            </a:ext>
          </a:extLst>
        </cdr:cNvPr>
        <cdr:cNvCxnSpPr/>
      </cdr:nvCxnSpPr>
      <cdr:spPr>
        <a:xfrm xmlns:a="http://schemas.openxmlformats.org/drawingml/2006/main">
          <a:off x="243650" y="1467480"/>
          <a:ext cx="4584219" cy="23"/>
        </a:xfrm>
        <a:prstGeom xmlns:a="http://schemas.openxmlformats.org/drawingml/2006/main" prst="line">
          <a:avLst/>
        </a:prstGeom>
        <a:ln xmlns:a="http://schemas.openxmlformats.org/drawingml/2006/main" w="9525" cmpd="sng">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4FA2D-D44B-44B0-AC7C-9F73435A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8</Pages>
  <Words>2273</Words>
  <Characters>12507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Urrea Rodriguez</dc:creator>
  <cp:keywords/>
  <dc:description/>
  <cp:lastModifiedBy>Anaïs López García</cp:lastModifiedBy>
  <cp:revision>57</cp:revision>
  <dcterms:created xsi:type="dcterms:W3CDTF">2020-07-29T11:41:00Z</dcterms:created>
  <dcterms:modified xsi:type="dcterms:W3CDTF">2020-11-12T16:05:00Z</dcterms:modified>
</cp:coreProperties>
</file>