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E9EA2" w14:textId="77777777" w:rsidR="00A84CA7" w:rsidRDefault="00A84CA7" w:rsidP="00753088">
      <w:pPr>
        <w:ind w:right="-574"/>
      </w:pPr>
      <w:r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drawing>
          <wp:anchor distT="0" distB="0" distL="114300" distR="114300" simplePos="0" relativeHeight="251656192" behindDoc="0" locked="0" layoutInCell="1" allowOverlap="1" wp14:anchorId="0B5B7A48" wp14:editId="4F6EC3F1">
            <wp:simplePos x="0" y="0"/>
            <wp:positionH relativeFrom="column">
              <wp:posOffset>-1078865</wp:posOffset>
            </wp:positionH>
            <wp:positionV relativeFrom="paragraph">
              <wp:posOffset>-350453</wp:posOffset>
            </wp:positionV>
            <wp:extent cx="7581265" cy="101917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ecera_Nd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5AC9" w14:textId="77777777" w:rsidR="00440439" w:rsidRDefault="00440439" w:rsidP="00753088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7DFF91C1" w14:textId="77777777" w:rsidR="00A84CA7" w:rsidRDefault="00A84CA7" w:rsidP="00753088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6375B5B2" w14:textId="77777777" w:rsidR="00E54550" w:rsidRPr="00E54550" w:rsidRDefault="00E54550" w:rsidP="00753088">
      <w:pPr>
        <w:spacing w:line="276" w:lineRule="auto"/>
        <w:ind w:right="-574"/>
        <w:jc w:val="center"/>
        <w:rPr>
          <w:rFonts w:ascii="National" w:hAnsi="National"/>
          <w:b/>
          <w:bCs/>
          <w:iCs/>
          <w:color w:val="1DBDC5"/>
          <w:sz w:val="20"/>
          <w:szCs w:val="14"/>
          <w:lang w:val="es-ES"/>
        </w:rPr>
      </w:pPr>
    </w:p>
    <w:p w14:paraId="7CB58E4F" w14:textId="45A1B53E" w:rsidR="00753088" w:rsidRPr="000B133D" w:rsidRDefault="00996159" w:rsidP="00753088">
      <w:pPr>
        <w:spacing w:line="276" w:lineRule="auto"/>
        <w:ind w:right="-574"/>
        <w:jc w:val="center"/>
        <w:rPr>
          <w:rFonts w:ascii="National" w:hAnsi="National"/>
          <w:b/>
          <w:bCs/>
          <w:iCs/>
          <w:color w:val="1DBDC5"/>
          <w:sz w:val="34"/>
          <w:szCs w:val="32"/>
          <w:lang w:val="es-ES"/>
        </w:rPr>
      </w:pPr>
      <w:r>
        <w:rPr>
          <w:rFonts w:ascii="National" w:hAnsi="National"/>
          <w:b/>
          <w:bCs/>
          <w:iCs/>
          <w:color w:val="1DBDC5"/>
          <w:sz w:val="34"/>
          <w:szCs w:val="32"/>
          <w:lang w:val="es-ES"/>
        </w:rPr>
        <w:t>PERFIL COMPRADOR SEGUNDA RESIDENCIA</w:t>
      </w:r>
    </w:p>
    <w:p w14:paraId="75CA768C" w14:textId="0C4C51D9" w:rsidR="00240BF9" w:rsidRPr="00996159" w:rsidRDefault="00996159" w:rsidP="00782E91">
      <w:pPr>
        <w:ind w:right="-574"/>
        <w:jc w:val="both"/>
        <w:rPr>
          <w:rFonts w:ascii="National" w:hAnsi="National"/>
          <w:b/>
          <w:bCs/>
          <w:iCs/>
          <w:color w:val="303AB2"/>
          <w:sz w:val="56"/>
          <w:szCs w:val="200"/>
          <w:lang w:val="es-ES"/>
        </w:rPr>
      </w:pPr>
      <w:r w:rsidRPr="00996159">
        <w:rPr>
          <w:rFonts w:ascii="National" w:hAnsi="National"/>
          <w:b/>
          <w:bCs/>
          <w:iCs/>
          <w:color w:val="303AB2"/>
          <w:sz w:val="56"/>
          <w:szCs w:val="200"/>
          <w:lang w:val="es-ES"/>
        </w:rPr>
        <w:t>La demanda de segunda residencia sigue retrocediendo</w:t>
      </w:r>
    </w:p>
    <w:p w14:paraId="01195DCB" w14:textId="77777777" w:rsidR="0073624D" w:rsidRDefault="0073624D" w:rsidP="0073624D">
      <w:pPr>
        <w:pStyle w:val="Prrafodelista"/>
        <w:spacing w:line="276" w:lineRule="auto"/>
        <w:ind w:left="644"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</w:p>
    <w:p w14:paraId="4335F08F" w14:textId="74293897" w:rsidR="008F6F5A" w:rsidRDefault="008B77EB" w:rsidP="00CD421F">
      <w:pPr>
        <w:pStyle w:val="Prrafodelista"/>
        <w:numPr>
          <w:ilvl w:val="0"/>
          <w:numId w:val="7"/>
        </w:numPr>
        <w:spacing w:line="276" w:lineRule="auto"/>
        <w:ind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  <w:r w:rsidRPr="008B77EB">
        <w:rPr>
          <w:rFonts w:ascii="Open Sans" w:eastAsia="Times New Roman" w:hAnsi="Open Sans" w:cs="Open Sans"/>
          <w:sz w:val="22"/>
          <w:szCs w:val="22"/>
          <w:lang w:val="es-ES" w:eastAsia="es-ES_tradnl"/>
        </w:rPr>
        <w:t>Si en 2017 el 12% de los buscadores de vivienda buscaba segunda residencia, en 2020 se reduce al 9%</w:t>
      </w:r>
    </w:p>
    <w:p w14:paraId="6C6CE978" w14:textId="17829280" w:rsidR="008B77EB" w:rsidRPr="008B77EB" w:rsidRDefault="008B77EB" w:rsidP="00CD421F">
      <w:pPr>
        <w:pStyle w:val="Prrafodelista"/>
        <w:numPr>
          <w:ilvl w:val="0"/>
          <w:numId w:val="7"/>
        </w:numPr>
        <w:spacing w:line="276" w:lineRule="auto"/>
        <w:ind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  <w:r>
        <w:rPr>
          <w:rFonts w:ascii="Open Sans" w:eastAsia="Times New Roman" w:hAnsi="Open Sans" w:cs="Open Sans"/>
          <w:sz w:val="22"/>
          <w:szCs w:val="22"/>
          <w:lang w:val="es-ES" w:eastAsia="es-ES_tradnl"/>
        </w:rPr>
        <w:t>La demanda de segunda residencia es mayor como alquiler (60%) que de compra (40%)</w:t>
      </w:r>
    </w:p>
    <w:p w14:paraId="79DBF493" w14:textId="76485187" w:rsidR="00782E91" w:rsidRDefault="008B77EB" w:rsidP="00782E91">
      <w:pPr>
        <w:pStyle w:val="Prrafodelista"/>
        <w:numPr>
          <w:ilvl w:val="0"/>
          <w:numId w:val="7"/>
        </w:numPr>
        <w:spacing w:line="276" w:lineRule="auto"/>
        <w:ind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  <w:r w:rsidRPr="008B77EB">
        <w:rPr>
          <w:rFonts w:ascii="Open Sans" w:eastAsia="Times New Roman" w:hAnsi="Open Sans" w:cs="Open Sans"/>
          <w:sz w:val="22"/>
          <w:szCs w:val="22"/>
          <w:lang w:val="es-ES" w:eastAsia="es-ES_tradnl"/>
        </w:rPr>
        <w:t>Tanto para propietarios como para inquilinos el precio es lo más importante a la hora de buscar segunda residencia</w:t>
      </w:r>
    </w:p>
    <w:p w14:paraId="4F6C8D7F" w14:textId="19DD2B73" w:rsidR="008B77EB" w:rsidRPr="008B77EB" w:rsidRDefault="008B77EB" w:rsidP="00782E91">
      <w:pPr>
        <w:pStyle w:val="Prrafodelista"/>
        <w:numPr>
          <w:ilvl w:val="0"/>
          <w:numId w:val="7"/>
        </w:numPr>
        <w:spacing w:line="276" w:lineRule="auto"/>
        <w:ind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  <w:r>
        <w:rPr>
          <w:rFonts w:ascii="Open Sans" w:eastAsia="Times New Roman" w:hAnsi="Open Sans" w:cs="Open Sans"/>
          <w:sz w:val="22"/>
          <w:szCs w:val="22"/>
          <w:lang w:val="es-ES" w:eastAsia="es-ES_tradnl"/>
        </w:rPr>
        <w:t>Cuatro de cada diez compradores de segunda residencia se plantea</w:t>
      </w:r>
      <w:r w:rsidR="00AF71C6">
        <w:rPr>
          <w:rFonts w:ascii="Open Sans" w:eastAsia="Times New Roman" w:hAnsi="Open Sans" w:cs="Open Sans"/>
          <w:sz w:val="22"/>
          <w:szCs w:val="22"/>
          <w:lang w:val="es-ES" w:eastAsia="es-ES_tradnl"/>
        </w:rPr>
        <w:t>n</w:t>
      </w:r>
      <w:r>
        <w:rPr>
          <w:rFonts w:ascii="Open Sans" w:eastAsia="Times New Roman" w:hAnsi="Open Sans" w:cs="Open Sans"/>
          <w:sz w:val="22"/>
          <w:szCs w:val="22"/>
          <w:lang w:val="es-ES" w:eastAsia="es-ES_tradnl"/>
        </w:rPr>
        <w:t xml:space="preserve"> ponerla en alquiler</w:t>
      </w:r>
    </w:p>
    <w:p w14:paraId="1EDF6120" w14:textId="7AF91B1F" w:rsidR="00CD421F" w:rsidRDefault="00CD421F" w:rsidP="00760547">
      <w:pPr>
        <w:pStyle w:val="Prrafodelista"/>
        <w:spacing w:line="276" w:lineRule="auto"/>
        <w:ind w:left="644" w:right="-574"/>
        <w:rPr>
          <w:rFonts w:ascii="Open Sans" w:eastAsia="Times New Roman" w:hAnsi="Open Sans" w:cs="Open Sans"/>
          <w:sz w:val="22"/>
          <w:szCs w:val="22"/>
          <w:lang w:val="es-ES" w:eastAsia="es-ES_tradnl"/>
        </w:rPr>
      </w:pPr>
    </w:p>
    <w:p w14:paraId="32A4201F" w14:textId="32D99C98" w:rsidR="002A35C0" w:rsidRPr="002A35C0" w:rsidRDefault="00753088" w:rsidP="0075308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Madrid</w:t>
      </w:r>
      <w:r w:rsidR="00481CB0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, </w:t>
      </w:r>
      <w:r w:rsidR="00996159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30</w:t>
      </w:r>
      <w:r w:rsidR="00481CB0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 de </w:t>
      </w:r>
      <w:r w:rsidR="00A82C78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julio</w:t>
      </w:r>
      <w:r w:rsidR="00415455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 de</w:t>
      </w:r>
      <w:r w:rsidR="00966C6F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 2020</w:t>
      </w:r>
    </w:p>
    <w:p w14:paraId="0C187699" w14:textId="77777777" w:rsidR="00996159" w:rsidRDefault="00996159" w:rsidP="00996159">
      <w:pPr>
        <w:pStyle w:val="NormalWeb"/>
        <w:shd w:val="clear" w:color="auto" w:fill="FFFFFF"/>
        <w:spacing w:after="225" w:line="276" w:lineRule="auto"/>
        <w:ind w:right="-574"/>
        <w:jc w:val="both"/>
        <w:rPr>
          <w:rStyle w:val="Hipervnculo"/>
          <w:rFonts w:ascii="Open Sans" w:hAnsi="Open Sans" w:cs="Open Sans"/>
          <w:sz w:val="22"/>
          <w:szCs w:val="22"/>
        </w:rPr>
      </w:pPr>
      <w:r w:rsidRPr="00996159">
        <w:rPr>
          <w:rFonts w:ascii="Open Sans" w:hAnsi="Open Sans" w:cs="Open Sans"/>
          <w:color w:val="000000"/>
          <w:sz w:val="22"/>
          <w:szCs w:val="22"/>
        </w:rPr>
        <w:t>La demanda de vivienda de segunda residencia mantiene la tendencia a la baja que viene registrando desde el año 2017. Si entonces un 12% de los particulares que estaban buscando vivienda lo hacían con fines vacacionales, ese porcentaje se ha reducido en 2020 al 9%</w:t>
      </w:r>
      <w:r>
        <w:rPr>
          <w:rFonts w:ascii="Open Sans" w:hAnsi="Open Sans" w:cs="Open Sans"/>
          <w:color w:val="000000"/>
          <w:sz w:val="22"/>
          <w:szCs w:val="22"/>
        </w:rPr>
        <w:t xml:space="preserve">. Así se desprende del análisis de </w:t>
      </w:r>
      <w:hyperlink r:id="rId9" w:history="1">
        <w:r w:rsidRPr="006C649C">
          <w:rPr>
            <w:rStyle w:val="Hipervnculo"/>
            <w:rFonts w:ascii="Open Sans" w:hAnsi="Open Sans" w:cs="Open Sans"/>
            <w:sz w:val="22"/>
            <w:szCs w:val="22"/>
          </w:rPr>
          <w:t xml:space="preserve">Fotocasa </w:t>
        </w:r>
        <w:proofErr w:type="spellStart"/>
        <w:r w:rsidRPr="006C649C">
          <w:rPr>
            <w:rStyle w:val="Hipervnculo"/>
            <w:rFonts w:ascii="Open Sans" w:hAnsi="Open Sans" w:cs="Open Sans"/>
            <w:sz w:val="22"/>
            <w:szCs w:val="22"/>
          </w:rPr>
          <w:t>Research</w:t>
        </w:r>
        <w:proofErr w:type="spellEnd"/>
      </w:hyperlink>
      <w:r>
        <w:rPr>
          <w:rFonts w:ascii="Open Sans" w:hAnsi="Open Sans" w:cs="Open Sans"/>
          <w:color w:val="000000"/>
          <w:sz w:val="22"/>
          <w:szCs w:val="22"/>
        </w:rPr>
        <w:t xml:space="preserve"> “</w:t>
      </w:r>
      <w:r w:rsidRPr="00996159">
        <w:rPr>
          <w:rFonts w:ascii="Open Sans" w:hAnsi="Open Sans" w:cs="Open Sans"/>
          <w:b/>
          <w:bCs/>
          <w:i/>
          <w:iCs/>
          <w:color w:val="000000"/>
          <w:sz w:val="22"/>
          <w:szCs w:val="22"/>
        </w:rPr>
        <w:t>Perfil del comprador de segunda residencia</w:t>
      </w:r>
      <w:r>
        <w:rPr>
          <w:rFonts w:ascii="Open Sans" w:hAnsi="Open Sans" w:cs="Open Sans"/>
          <w:color w:val="000000"/>
          <w:sz w:val="22"/>
          <w:szCs w:val="22"/>
        </w:rPr>
        <w:t xml:space="preserve">” elaborado por el portal inmobiliario </w:t>
      </w:r>
      <w:hyperlink r:id="rId10" w:history="1">
        <w:r w:rsidRPr="000A4242">
          <w:rPr>
            <w:rStyle w:val="Hipervnculo"/>
            <w:rFonts w:ascii="Open Sans" w:hAnsi="Open Sans" w:cs="Open Sans"/>
            <w:sz w:val="22"/>
            <w:szCs w:val="22"/>
          </w:rPr>
          <w:t>Fotocasa</w:t>
        </w:r>
      </w:hyperlink>
      <w:r>
        <w:rPr>
          <w:rStyle w:val="Hipervnculo"/>
          <w:rFonts w:ascii="Open Sans" w:hAnsi="Open Sans" w:cs="Open Sans"/>
          <w:sz w:val="22"/>
          <w:szCs w:val="22"/>
        </w:rPr>
        <w:t>.</w:t>
      </w:r>
    </w:p>
    <w:p w14:paraId="3678B1F4" w14:textId="32B275B4" w:rsidR="00996159" w:rsidRDefault="00996159" w:rsidP="00996159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996159">
        <w:rPr>
          <w:rFonts w:ascii="Open Sans" w:hAnsi="Open Sans" w:cs="Open Sans"/>
          <w:color w:val="000000"/>
          <w:sz w:val="22"/>
          <w:szCs w:val="22"/>
        </w:rPr>
        <w:t>Estos demandantes de segunda residencia buscan más en el mercado del alquiler (60%) que en el de propiedad (40%). El peso de este colectivo respecto al conjunto de cada uno de estos dos mercados es muy parejo: los buscadores de casa de vacaciones suponen el 10% de los demandantes en el alquiler y el 9 % de los demandantes en compraventa.</w:t>
      </w:r>
    </w:p>
    <w:p w14:paraId="128CC585" w14:textId="77777777" w:rsidR="00996159" w:rsidRPr="00996159" w:rsidRDefault="00996159" w:rsidP="00996159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996159">
        <w:rPr>
          <w:rFonts w:ascii="Open Sans Light" w:hAnsi="Open Sans Light" w:cs="Open Sans Light"/>
          <w:b/>
          <w:iCs/>
          <w:color w:val="303AB2"/>
          <w:sz w:val="28"/>
          <w:lang w:val="es-ES"/>
        </w:rPr>
        <w:t>¿Quién demanda vivienda de segunda residencia?</w:t>
      </w:r>
    </w:p>
    <w:p w14:paraId="3D8228C1" w14:textId="08BEB7FD" w:rsidR="00996159" w:rsidRPr="00996159" w:rsidRDefault="00996159" w:rsidP="00996159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996159">
        <w:rPr>
          <w:rFonts w:ascii="Open Sans" w:hAnsi="Open Sans" w:cs="Open Sans"/>
          <w:color w:val="000000"/>
          <w:sz w:val="22"/>
          <w:szCs w:val="22"/>
        </w:rPr>
        <w:t xml:space="preserve">No existe un perfil de demandante de segunda residencia, porque precisamente las diferencias entre los que buscan en el mercado de alquiler y los que buscan en propiedad son tan significativas como para analizarlos por separado. </w:t>
      </w:r>
    </w:p>
    <w:p w14:paraId="40ABF671" w14:textId="456238BF" w:rsidR="00996159" w:rsidRDefault="00996159" w:rsidP="00996159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996159">
        <w:rPr>
          <w:rFonts w:ascii="Open Sans" w:hAnsi="Open Sans" w:cs="Open Sans"/>
          <w:color w:val="000000"/>
          <w:sz w:val="22"/>
          <w:szCs w:val="22"/>
        </w:rPr>
        <w:t>Así, los que compran (o intentan comprar) segunda residencia tienden a tener un perfil de más edad y un nivel socioeconómico superior (la mitad de ellos están se sitúan en los dos escalones más altos, IA1 e IA2), mientras que entre los que alquilan (o intentan alquilar) hay un menor porcentaje de personas que viven en pareja y tienen más protagonismo los niveles intermedios en términos socioeconómicos.</w:t>
      </w:r>
    </w:p>
    <w:p w14:paraId="25C8D0B6" w14:textId="73D7EE6C" w:rsidR="00996159" w:rsidRDefault="00996159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4BAB52E" wp14:editId="6EE28486">
            <wp:extent cx="5909187" cy="599193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68" cy="59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4EAA" w14:textId="77777777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04AF1453" w14:textId="24FBFF4F" w:rsidR="00996159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>Concretamente, en relación con la edad media de ambos targets hay más de diez años de diferencia: entre los compradores es de 45 años mientras que los inquilinos tienen, de media, 34 años. Este dato, sin embargo, conviene tomarlo con cierta cautela: hay señales (como el alto porcentaje de demandantes de segunda residencia de alquiler que dice vivir con sus padres) que apuntan a que en el arrendamiento hay muchos jóvenes encuestados que distorsionan los resultados con respuestas no directamente vinculadas al hecho de alquilar una vivienda de vacaciones.</w:t>
      </w:r>
    </w:p>
    <w:p w14:paraId="09ECDA94" w14:textId="5B164F30" w:rsidR="00996159" w:rsidRDefault="00996159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01E8D13D" w14:textId="5BAFBABE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340E6139" w14:textId="77777777" w:rsidR="00FF2AE2" w:rsidRP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FF2AE2">
        <w:rPr>
          <w:rFonts w:ascii="Open Sans Light" w:hAnsi="Open Sans Light" w:cs="Open Sans Light"/>
          <w:b/>
          <w:iCs/>
          <w:color w:val="303AB2"/>
          <w:sz w:val="28"/>
          <w:lang w:val="es-ES"/>
        </w:rPr>
        <w:lastRenderedPageBreak/>
        <w:t xml:space="preserve">La vivienda </w:t>
      </w:r>
    </w:p>
    <w:p w14:paraId="26B49B8E" w14:textId="65A94C92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A</w:t>
      </w:r>
      <w:r w:rsidRPr="00FF2AE2">
        <w:rPr>
          <w:rFonts w:ascii="Open Sans" w:hAnsi="Open Sans" w:cs="Open Sans"/>
          <w:color w:val="000000"/>
          <w:sz w:val="22"/>
          <w:szCs w:val="22"/>
        </w:rPr>
        <w:t xml:space="preserve"> la hora de valorar las características que se buscan en una vivienda de segunda residencia, también hay diferencias relevantes entre compradores —entendiendo como tales los particulares que han comprado o intentado comprar en los últimos 12 meses— y arrendatarios —han alquilado o intentado alquilar—. Pese a esto, sí que hay un punto común: el precio. </w:t>
      </w:r>
    </w:p>
    <w:p w14:paraId="79C053E0" w14:textId="77777777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Para poder tener una vivienda de segunda residencia es imprescindible poder pagarla. Por eso, los compradores valoran el precio con una importancia media de 8,4 puntos y los inquilinos de 8,3. </w:t>
      </w:r>
    </w:p>
    <w:p w14:paraId="625EA88A" w14:textId="77777777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Superado el corte del precio, las características intrínsecas del inmueble es lo que más tienen en cuenta los compradores. Es decir: que tenga el número de habitaciones que se busca, los metros cuadrados deseados y la distribución acorde a los gustos del comprador. </w:t>
      </w:r>
    </w:p>
    <w:p w14:paraId="7F9C03F5" w14:textId="6474B330" w:rsid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>Por su parte, los inquilinos, lógicamente, valoran más características de uso, como no tener que invertir dinero en reformas, que disponga de servicios cerca y que la ubicación tenga buenas conexiones de transporte público.</w:t>
      </w:r>
    </w:p>
    <w:p w14:paraId="78AD8850" w14:textId="2347BCF0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2B65850" wp14:editId="492968E6">
            <wp:extent cx="5771536" cy="2888485"/>
            <wp:effectExtent l="0" t="0" r="63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41" cy="28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BBF8" w14:textId="77777777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Con respecto a la ubicación de la vivienda, como es lógico, cuando se trata de segundas residencias implica que exista un desplazamiento. La mitad de los demandantes en propiedad y un tercio de los que buscan para alquilar lo hacen en una provincia diferente a la de su residencia habitual. </w:t>
      </w:r>
    </w:p>
    <w:p w14:paraId="09894D61" w14:textId="77777777" w:rsid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</w:p>
    <w:p w14:paraId="4CBDFD9A" w14:textId="77777777" w:rsid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</w:p>
    <w:p w14:paraId="12A5C25A" w14:textId="77777777" w:rsid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</w:p>
    <w:p w14:paraId="1AE7D6B5" w14:textId="77777777" w:rsid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</w:p>
    <w:p w14:paraId="2BDAFC13" w14:textId="7C1DB64E" w:rsidR="00FF2AE2" w:rsidRP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FF2AE2">
        <w:rPr>
          <w:rFonts w:ascii="Open Sans Light" w:hAnsi="Open Sans Light" w:cs="Open Sans Light"/>
          <w:b/>
          <w:iCs/>
          <w:color w:val="303AB2"/>
          <w:sz w:val="28"/>
          <w:lang w:val="es-ES"/>
        </w:rPr>
        <w:lastRenderedPageBreak/>
        <w:t>Cuatro de cada diez compradores se plantea poner la vivienda en alquiler</w:t>
      </w:r>
    </w:p>
    <w:p w14:paraId="65F5896A" w14:textId="2B2CF1E3" w:rsidR="00FF2AE2" w:rsidRDefault="008B77EB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L</w:t>
      </w:r>
      <w:r w:rsidR="00FF2AE2" w:rsidRPr="00FF2AE2">
        <w:rPr>
          <w:rFonts w:ascii="Open Sans" w:hAnsi="Open Sans" w:cs="Open Sans"/>
          <w:color w:val="000000"/>
          <w:sz w:val="22"/>
          <w:szCs w:val="22"/>
        </w:rPr>
        <w:t xml:space="preserve">os compradores de segunda residencia tienen la opinión de que la vivienda es una buena inversión y compensa más que alquilar. De hecho, para cuatro de cada diez la puesta en alquiler de la vivienda es una alternativa. Concretamente, el 25% se plantea realizar esta acción para alquiler vacacional o estancias cortas. También hay un 12% que apuesta por el de larga duración. </w:t>
      </w:r>
    </w:p>
    <w:p w14:paraId="34692695" w14:textId="03AB840D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48A1537" wp14:editId="0D17ACDA">
            <wp:extent cx="5761704" cy="34680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36" cy="34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6E35" w14:textId="236FFDFB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Cuando deciden dar el paso de poner en alquiler la vivienda, el 50% lo hace porque lo consideran rentable y el 33% para aliviar la carga económica que supone la hipoteca de este inmueble. También un 16% invierte en segunda residencia con el objetivo de venderla en un futuro si el mercado le resulta favorable. </w:t>
      </w:r>
    </w:p>
    <w:p w14:paraId="65ACBFAB" w14:textId="3B81D1D9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Aparte de los que se deciden a alquilar, hay un 63% demandantes de segunda residencia en propiedad que prefiere no hacerlo. ¿Cuáles son las razones que les frenan? Si bien es cierto que hay un 83% que espera darle uso, hay razones como el temor a que los inquilinos estropeen la vivienda o tener problemas de impagos de la renta que les hacen desestimar la idea del alquiler. </w:t>
      </w:r>
    </w:p>
    <w:p w14:paraId="2F41E9D9" w14:textId="77777777" w:rsidR="00FF2AE2" w:rsidRPr="00FF2AE2" w:rsidRDefault="00FF2AE2" w:rsidP="00FF2AE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FF2AE2">
        <w:rPr>
          <w:rFonts w:ascii="Open Sans Light" w:hAnsi="Open Sans Light" w:cs="Open Sans Light"/>
          <w:b/>
          <w:iCs/>
          <w:color w:val="303AB2"/>
          <w:sz w:val="28"/>
          <w:lang w:val="es-ES"/>
        </w:rPr>
        <w:t>Motivos: quien compra, invierte; quien alquila, no puede comprar</w:t>
      </w:r>
    </w:p>
    <w:p w14:paraId="0EB504CC" w14:textId="32D6B05D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C</w:t>
      </w:r>
      <w:r w:rsidRPr="00FF2AE2">
        <w:rPr>
          <w:rFonts w:ascii="Open Sans" w:hAnsi="Open Sans" w:cs="Open Sans"/>
          <w:color w:val="000000"/>
          <w:sz w:val="22"/>
          <w:szCs w:val="22"/>
        </w:rPr>
        <w:t xml:space="preserve">uando se trata de comprar una vivienda de segunda residencia, por lo general, los motivos que conducen a esta decisión están muy ligados al valor del inmueble como inversión. De manera mayoritaria, los compradores ven en esta acción una inversión a largo plazo, una forma de hacer patrimonio y un seguro para el futuro. </w:t>
      </w:r>
    </w:p>
    <w:p w14:paraId="51CE248F" w14:textId="7E5C3B8F" w:rsid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lastRenderedPageBreak/>
        <w:t>Además, cuando se trata de motivos más personales, el 43% de los compradores afirma que una vivienda de segunda residencia da una rentabilidad que no ofrece ningún otro producto financiero.</w:t>
      </w:r>
    </w:p>
    <w:p w14:paraId="6790E51B" w14:textId="0D2930E6" w:rsidR="00FF2AE2" w:rsidRDefault="00FF2AE2" w:rsidP="006276E5">
      <w:pPr>
        <w:pStyle w:val="NormalWeb"/>
        <w:shd w:val="clear" w:color="auto" w:fill="FFFFFF"/>
        <w:spacing w:after="225" w:line="276" w:lineRule="auto"/>
        <w:ind w:left="-426"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580478D" wp14:editId="49462482">
            <wp:extent cx="6119446" cy="36833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11" cy="36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D726" w14:textId="77777777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Lógicamente, los motivos que impulsan la búsqueda de un alquiler de segunda residencia son diferentes a los de los compradores. La percepción de la movilidad y la flexibilidad que ofrece un alquiler es la idea que más se manifiesta entre los arrendatarios. </w:t>
      </w:r>
    </w:p>
    <w:p w14:paraId="5F549170" w14:textId="645B0480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Sin embargo, la situación económica también es determinante. De hecho, el 25% afirma que su economía les impide comprar una vivienda y un 17% considera que el alquiler supone un menor gasto de mantenimiento. </w:t>
      </w:r>
    </w:p>
    <w:p w14:paraId="4A5C5E36" w14:textId="77777777" w:rsidR="00FF2AE2" w:rsidRPr="00FF2AE2" w:rsidRDefault="00FF2AE2" w:rsidP="00FF2AE2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F2AE2">
        <w:rPr>
          <w:rFonts w:ascii="Open Sans" w:hAnsi="Open Sans" w:cs="Open Sans"/>
          <w:color w:val="000000"/>
          <w:sz w:val="22"/>
          <w:szCs w:val="22"/>
        </w:rPr>
        <w:t xml:space="preserve">Estas diferencias entre uno y otro grupo encajan perfectamente con las características sociodemográficas que hemos analizado: las personas que optan por el alquiler son más jóvenes y de estratos socioeconómicos inferiores a los de los compradores, y, por lo tanto, es normal que esto se plasme en los motivos que les impulsa a decantarse por el mercado del arrendamiento. </w:t>
      </w:r>
    </w:p>
    <w:p w14:paraId="1A23CD10" w14:textId="64E2EAAC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051A3F8" w14:textId="070C58FC" w:rsidR="00CE4F10" w:rsidRDefault="00CE4F10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FBE60A2" w14:textId="458E23AF" w:rsidR="00CE4F10" w:rsidRDefault="00CE4F10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8FBBBB9" w14:textId="6C5DAF86" w:rsidR="00CE4F10" w:rsidRDefault="00CE4F10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0000490" w14:textId="273A285D" w:rsidR="00CE4F10" w:rsidRDefault="00CE4F10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7E563A" wp14:editId="0D92ADBF">
            <wp:extent cx="5798994" cy="34904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00" cy="34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723F" w14:textId="77777777" w:rsidR="00CE4F10" w:rsidRPr="00CE4F10" w:rsidRDefault="00CE4F10" w:rsidP="00CE4F10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CE4F10">
        <w:rPr>
          <w:rFonts w:ascii="Open Sans Light" w:hAnsi="Open Sans Light" w:cs="Open Sans Light"/>
          <w:b/>
          <w:iCs/>
          <w:color w:val="303AB2"/>
          <w:sz w:val="28"/>
          <w:lang w:val="es-ES"/>
        </w:rPr>
        <w:t xml:space="preserve">El proceso de búsqueda se alarga </w:t>
      </w:r>
    </w:p>
    <w:p w14:paraId="07B0D519" w14:textId="70B2728E" w:rsidR="00CE4F10" w:rsidRP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>Durante el proceso de búsq</w:t>
      </w:r>
      <w:bookmarkStart w:id="0" w:name="_GoBack"/>
      <w:bookmarkEnd w:id="0"/>
      <w:r w:rsidRPr="00CE4F10">
        <w:rPr>
          <w:rFonts w:ascii="Open Sans" w:hAnsi="Open Sans" w:cs="Open Sans"/>
          <w:color w:val="000000"/>
          <w:sz w:val="22"/>
          <w:szCs w:val="22"/>
        </w:rPr>
        <w:t xml:space="preserve">ueda de una segunda residencia en propiedad se producen algunos cambios importantes respecto a las pretensiones iniciales. Hasta un 63% de los que llegaron a adquirir un inmueble se planteó la posibilidad de una vivienda de obra nueva, aunque sólo un 23% de ellos terminó comprándola y el 77% terminó en el mercado de segunda mano. </w:t>
      </w:r>
    </w:p>
    <w:p w14:paraId="25EBDD60" w14:textId="53187F07" w:rsidR="00CE4F10" w:rsidRP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 xml:space="preserve">Esa fase de búsqueda es en 2020 sensiblemente más larga que en 2019: un 43% de los demandantes de vivienda en propiedad como segunda residencia han invertido menos de seis meses, un porcentaje que hace un año era del 55%. </w:t>
      </w:r>
    </w:p>
    <w:p w14:paraId="649875AD" w14:textId="1A6EE705" w:rsidR="00CE4F10" w:rsidRP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 xml:space="preserve">Esta cifra también supone una diferencia notable en comparación con el conjunto de compradores de vivienda que, según datos del informe </w:t>
      </w:r>
      <w:r w:rsidR="00C0762A">
        <w:rPr>
          <w:rFonts w:ascii="Open Sans" w:hAnsi="Open Sans" w:cs="Open Sans"/>
          <w:color w:val="000000"/>
          <w:sz w:val="22"/>
          <w:szCs w:val="22"/>
        </w:rPr>
        <w:t>“</w:t>
      </w:r>
      <w:hyperlink r:id="rId16" w:history="1">
        <w:r w:rsidRPr="00C0762A">
          <w:rPr>
            <w:rStyle w:val="Hipervnculo"/>
            <w:rFonts w:ascii="Open Sans" w:hAnsi="Open Sans" w:cs="Open Sans"/>
            <w:b/>
            <w:bCs/>
            <w:i/>
            <w:iCs/>
            <w:sz w:val="22"/>
            <w:szCs w:val="22"/>
          </w:rPr>
          <w:t>Experiencia de compra y venta de vivienda en el año 2019</w:t>
        </w:r>
      </w:hyperlink>
      <w:r w:rsidR="00C0762A" w:rsidRPr="00C0762A">
        <w:rPr>
          <w:rFonts w:ascii="Open Sans" w:hAnsi="Open Sans" w:cs="Open Sans"/>
          <w:color w:val="000000"/>
          <w:sz w:val="22"/>
          <w:szCs w:val="22"/>
        </w:rPr>
        <w:t>”</w:t>
      </w:r>
      <w:r w:rsidRPr="00CE4F10">
        <w:rPr>
          <w:rFonts w:ascii="Open Sans" w:hAnsi="Open Sans" w:cs="Open Sans"/>
          <w:color w:val="000000"/>
          <w:sz w:val="22"/>
          <w:szCs w:val="22"/>
        </w:rPr>
        <w:t xml:space="preserve">, elaborado por </w:t>
      </w:r>
      <w:hyperlink r:id="rId17" w:history="1">
        <w:r w:rsidRPr="00F83FFF">
          <w:rPr>
            <w:rStyle w:val="Hipervnculo"/>
            <w:rFonts w:ascii="Open Sans" w:hAnsi="Open Sans" w:cs="Open Sans"/>
            <w:sz w:val="22"/>
            <w:szCs w:val="22"/>
          </w:rPr>
          <w:t xml:space="preserve">Fotocasa </w:t>
        </w:r>
        <w:proofErr w:type="spellStart"/>
        <w:r w:rsidRPr="00F83FFF">
          <w:rPr>
            <w:rStyle w:val="Hipervnculo"/>
            <w:rFonts w:ascii="Open Sans" w:hAnsi="Open Sans" w:cs="Open Sans"/>
            <w:sz w:val="22"/>
            <w:szCs w:val="22"/>
          </w:rPr>
          <w:t>Research</w:t>
        </w:r>
        <w:proofErr w:type="spellEnd"/>
      </w:hyperlink>
      <w:r w:rsidRPr="00CE4F10">
        <w:rPr>
          <w:rFonts w:ascii="Open Sans" w:hAnsi="Open Sans" w:cs="Open Sans"/>
          <w:color w:val="000000"/>
          <w:sz w:val="22"/>
          <w:szCs w:val="22"/>
        </w:rPr>
        <w:t xml:space="preserve">, en el 65% de los casos necesitan menos de seis meses. </w:t>
      </w:r>
    </w:p>
    <w:p w14:paraId="47E76AD4" w14:textId="2AFC0C19" w:rsidR="00CE4F10" w:rsidRP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 xml:space="preserve">Lógicamente, cuando se trata de alquilar una segunda residencia, los plazos son mucho más cortos, En este caso, el 65% necesita menos de un mes para encontrar una vivienda de segunda residencia en alquiler. </w:t>
      </w:r>
    </w:p>
    <w:p w14:paraId="14A7F398" w14:textId="4F06B47A" w:rsidR="00FF2AE2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>Lo que sí tienen en común ambos mercados es que el precio es la principal dificultad con la que se han encontrado quienes han logrado alquilar o comprar una vivienda de segunda residencia: el porcentaje (64%) de quienes lo mencionan como dificultad es idéntico en ambos mercados.</w:t>
      </w:r>
      <w:r w:rsidR="00F83FF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CE4F10">
        <w:rPr>
          <w:rFonts w:ascii="Open Sans" w:hAnsi="Open Sans" w:cs="Open Sans"/>
          <w:color w:val="000000"/>
          <w:sz w:val="22"/>
          <w:szCs w:val="22"/>
        </w:rPr>
        <w:t>También coinciden en que el estado de las viviendas y la ubicación son los principales problemas, después del precio.</w:t>
      </w:r>
    </w:p>
    <w:p w14:paraId="3D8B656C" w14:textId="27BEC829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0172595" w14:textId="77777777" w:rsidR="00CE4F10" w:rsidRPr="00CE4F10" w:rsidRDefault="00CE4F10" w:rsidP="00CE4F10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CE4F10">
        <w:rPr>
          <w:rFonts w:ascii="Open Sans Light" w:hAnsi="Open Sans Light" w:cs="Open Sans Light"/>
          <w:b/>
          <w:iCs/>
          <w:color w:val="303AB2"/>
          <w:sz w:val="28"/>
          <w:lang w:val="es-ES"/>
        </w:rPr>
        <w:lastRenderedPageBreak/>
        <w:t>El precio es el impedimento de la mitad de los que no cierran la operación</w:t>
      </w:r>
    </w:p>
    <w:p w14:paraId="630989FC" w14:textId="7ABEE1C7" w:rsidR="00CE4F10" w:rsidRP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 xml:space="preserve">La dificultad que supone el precio para quienes, pese a ello, han llegado a completar su búsqueda de segunda residencia se convierte en impedimento insuperable para la mitad de quienes no lo logran. Así lo señalan el 48% de los que no han conseguido alquilar y el 49% de los que no han conseguido comprar. </w:t>
      </w:r>
    </w:p>
    <w:p w14:paraId="5D11A442" w14:textId="07E87F64" w:rsidR="00FF2AE2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>Estos últimos, los que no han encontrado casa en propiedad, tienen un motivo aún más importante: un 53% no ha encontrado una vivienda que se adapte a sus necesidades.</w:t>
      </w:r>
    </w:p>
    <w:p w14:paraId="4BF99C17" w14:textId="01F69FF5" w:rsidR="00FF2AE2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43BE9E8" wp14:editId="7043BDB3">
            <wp:extent cx="5584723" cy="33614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08" cy="33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4F02" w14:textId="244F29D7" w:rsidR="00FF2AE2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B9DBEA0" wp14:editId="0F8992EA">
            <wp:extent cx="5565058" cy="3349643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99" cy="33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3B58" w14:textId="77777777" w:rsidR="00CE4F10" w:rsidRPr="00CE4F10" w:rsidRDefault="00CE4F10" w:rsidP="00CE4F10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lang w:val="es-ES"/>
        </w:rPr>
      </w:pPr>
      <w:r w:rsidRPr="00CE4F10">
        <w:rPr>
          <w:rFonts w:ascii="Open Sans Light" w:hAnsi="Open Sans Light" w:cs="Open Sans Light"/>
          <w:b/>
          <w:iCs/>
          <w:color w:val="303AB2"/>
          <w:sz w:val="28"/>
          <w:lang w:val="es-ES"/>
        </w:rPr>
        <w:lastRenderedPageBreak/>
        <w:t xml:space="preserve">Opinión del mercado </w:t>
      </w:r>
    </w:p>
    <w:p w14:paraId="34003C4D" w14:textId="77777777" w:rsidR="00876494" w:rsidRDefault="00876494" w:rsidP="006276E5">
      <w:pPr>
        <w:pStyle w:val="NormalWeb"/>
        <w:shd w:val="clear" w:color="auto" w:fill="FFFFFF"/>
        <w:spacing w:after="225" w:line="276" w:lineRule="auto"/>
        <w:ind w:left="-284"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5B526A0" wp14:editId="4A2AE7EA">
            <wp:extent cx="6101862" cy="8244336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29" cy="82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97AD" w14:textId="0816349C" w:rsidR="00CE4F10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lastRenderedPageBreak/>
        <w:t xml:space="preserve">Los demandantes de vivienda en segunda residencia, ya sea en propiedad o en alquiler, coinciden en que el sentimiento de propiedad sigue muy arraigado en los españoles. Es la opinión sobre el mercado que más respaldo alcanza: 7,1 puntos entre los arrendatarios y 8 puntos entre los compradores. Ambos colectivos también coinciden en que los alquileres han subido tanto que compensa más pagar una hipoteca y en que comprar vivienda es una buena inversión. </w:t>
      </w:r>
    </w:p>
    <w:p w14:paraId="2C044B82" w14:textId="1EC2B9AB" w:rsidR="00FF2AE2" w:rsidRDefault="00CE4F10" w:rsidP="00CE4F10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CE4F10">
        <w:rPr>
          <w:rFonts w:ascii="Open Sans" w:hAnsi="Open Sans" w:cs="Open Sans"/>
          <w:color w:val="000000"/>
          <w:sz w:val="22"/>
          <w:szCs w:val="22"/>
        </w:rPr>
        <w:t>Pese a esto, por lo general los inquilinos de segunda residencia (o aspirantes a serlo) tienen opiniones más suavizadas. Sólo dan un respaldo más sólido que los compradores (y los que pretenden comprar) cuando se trata de cuestiones que les incumben directamente: creen en mayor medida que la tendencia del mercado es a alquiler más y comprar menos y que una normativa de precios de alquiler puede ayudar a equilibrar la oferta y la demanda.</w:t>
      </w:r>
    </w:p>
    <w:p w14:paraId="2B8BFA43" w14:textId="6568C594" w:rsidR="00FF2AE2" w:rsidRDefault="00FF2AE2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F70A304" w14:textId="77777777" w:rsidR="00CA705D" w:rsidRDefault="00CA705D" w:rsidP="00DD016A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8F7403B" w14:textId="22BED36B" w:rsidR="00B41A97" w:rsidRPr="00B41A97" w:rsidRDefault="00B41A97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Sobre </w:t>
      </w:r>
      <w:r w:rsidR="00152FC9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6067D519" w14:textId="77777777" w:rsidR="00D31A57" w:rsidRDefault="00D31A5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1A885187" w14:textId="77777777" w:rsidR="0073624D" w:rsidRPr="00E964E2" w:rsidRDefault="0073624D" w:rsidP="0073624D">
      <w:pPr>
        <w:spacing w:line="276" w:lineRule="auto"/>
        <w:ind w:right="-574"/>
        <w:jc w:val="both"/>
        <w:rPr>
          <w:rFonts w:ascii="Open Sans" w:hAnsi="Open Sans" w:cs="Open Sans"/>
          <w:color w:val="222222"/>
          <w:sz w:val="22"/>
          <w:szCs w:val="22"/>
        </w:rPr>
      </w:pPr>
      <w:r w:rsidRPr="00E964E2">
        <w:rPr>
          <w:rFonts w:ascii="Open Sans" w:hAnsi="Open Sans" w:cs="Open Sans"/>
          <w:color w:val="000000"/>
          <w:sz w:val="22"/>
          <w:szCs w:val="22"/>
        </w:rPr>
        <w:t>Portal inmobiliario que cuenta con inmuebles de segunda mano, promociones de obra nueva y viviendas de alquiler. Mensualmente elabora el </w:t>
      </w:r>
      <w:hyperlink r:id="rId21" w:tgtFrame="_blank" w:history="1">
        <w:r w:rsidRPr="00E964E2">
          <w:rPr>
            <w:rStyle w:val="Hipervnculo"/>
            <w:rFonts w:ascii="Open Sans" w:hAnsi="Open Sans" w:cs="Open Sans"/>
            <w:sz w:val="22"/>
            <w:szCs w:val="22"/>
          </w:rPr>
          <w:t>índice inmobiliario Fotocasa</w:t>
        </w:r>
      </w:hyperlink>
      <w:r w:rsidRPr="00E964E2">
        <w:rPr>
          <w:rFonts w:ascii="Open Sans" w:hAnsi="Open Sans" w:cs="Open Sans"/>
          <w:color w:val="000000"/>
          <w:sz w:val="22"/>
          <w:szCs w:val="22"/>
        </w:rPr>
        <w:t>, un informe de referencia sobre la evolución del precio medio de la vivienda en España, tanto en venta como en alquiler.</w:t>
      </w:r>
      <w:r>
        <w:rPr>
          <w:rFonts w:ascii="Open Sans" w:hAnsi="Open Sans" w:cs="Open Sans"/>
          <w:color w:val="000000"/>
          <w:sz w:val="22"/>
          <w:szCs w:val="22"/>
        </w:rPr>
        <w:t xml:space="preserve"> Además, desde hace varios años cuenta con un consolidado departamento de estudios, bajo el nombre de </w:t>
      </w:r>
      <w:hyperlink r:id="rId22" w:history="1">
        <w:r w:rsidRPr="00E964E2">
          <w:rPr>
            <w:rStyle w:val="Hipervnculo"/>
            <w:rFonts w:ascii="Open Sans" w:hAnsi="Open Sans" w:cs="Open Sans"/>
            <w:sz w:val="22"/>
            <w:szCs w:val="22"/>
          </w:rPr>
          <w:t xml:space="preserve">Fotocasa </w:t>
        </w:r>
        <w:proofErr w:type="spellStart"/>
        <w:r w:rsidRPr="00E964E2">
          <w:rPr>
            <w:rStyle w:val="Hipervnculo"/>
            <w:rFonts w:ascii="Open Sans" w:hAnsi="Open Sans" w:cs="Open Sans"/>
            <w:sz w:val="22"/>
            <w:szCs w:val="22"/>
          </w:rPr>
          <w:t>Research</w:t>
        </w:r>
        <w:proofErr w:type="spellEnd"/>
      </w:hyperlink>
      <w:r>
        <w:rPr>
          <w:rFonts w:ascii="Open Sans" w:hAnsi="Open Sans" w:cs="Open Sans"/>
          <w:color w:val="000000"/>
          <w:sz w:val="22"/>
          <w:szCs w:val="22"/>
        </w:rPr>
        <w:t xml:space="preserve">, que analizan los cambios y tendencias del sector inmobiliario. </w:t>
      </w:r>
    </w:p>
    <w:p w14:paraId="4FA5F0FE" w14:textId="72E8D31A" w:rsidR="0073624D" w:rsidRPr="00E964E2" w:rsidRDefault="00665F1F" w:rsidP="0073624D">
      <w:pPr>
        <w:pStyle w:val="NormalWeb"/>
        <w:shd w:val="clear" w:color="auto" w:fill="FFFFFF"/>
        <w:spacing w:line="276" w:lineRule="atLeast"/>
        <w:ind w:right="-567"/>
        <w:jc w:val="both"/>
        <w:rPr>
          <w:rFonts w:ascii="Open Sans" w:hAnsi="Open Sans" w:cs="Open Sans"/>
          <w:color w:val="000000"/>
          <w:sz w:val="22"/>
          <w:szCs w:val="22"/>
        </w:rPr>
      </w:pPr>
      <w:hyperlink r:id="rId23" w:history="1">
        <w:r w:rsidR="0073624D" w:rsidRPr="00B97DF8">
          <w:rPr>
            <w:rStyle w:val="Hipervnculo"/>
            <w:rFonts w:ascii="Open Sans" w:hAnsi="Open Sans" w:cs="Open Sans"/>
            <w:b/>
            <w:bCs/>
            <w:sz w:val="22"/>
            <w:szCs w:val="22"/>
          </w:rPr>
          <w:t>Fotocasa</w:t>
        </w:r>
      </w:hyperlink>
      <w:r w:rsidR="0073624D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73624D" w:rsidRPr="00B97DF8">
        <w:rPr>
          <w:rFonts w:ascii="Open Sans" w:hAnsi="Open Sans" w:cs="Open Sans"/>
          <w:color w:val="000000"/>
          <w:sz w:val="22"/>
          <w:szCs w:val="22"/>
        </w:rPr>
        <w:t xml:space="preserve">pertenece </w:t>
      </w:r>
      <w:r w:rsidR="0073624D" w:rsidRPr="00E964E2">
        <w:rPr>
          <w:rFonts w:ascii="Open Sans" w:hAnsi="Open Sans" w:cs="Open Sans"/>
          <w:color w:val="000000"/>
          <w:sz w:val="22"/>
          <w:szCs w:val="22"/>
        </w:rPr>
        <w:t>a </w:t>
      </w:r>
      <w:proofErr w:type="spellStart"/>
      <w:r w:rsidR="004A784E">
        <w:fldChar w:fldCharType="begin"/>
      </w:r>
      <w:r w:rsidR="004A784E">
        <w:instrText xml:space="preserve"> HYPERLINK "https://www.adevinta.com/" \t "_blank" </w:instrText>
      </w:r>
      <w:r w:rsidR="004A784E">
        <w:fldChar w:fldCharType="separate"/>
      </w:r>
      <w:r w:rsidR="0073624D" w:rsidRPr="00E964E2">
        <w:rPr>
          <w:rStyle w:val="Hipervnculo"/>
          <w:rFonts w:ascii="Open Sans" w:hAnsi="Open Sans" w:cs="Open Sans"/>
          <w:sz w:val="22"/>
          <w:szCs w:val="22"/>
        </w:rPr>
        <w:t>Adevinta</w:t>
      </w:r>
      <w:proofErr w:type="spellEnd"/>
      <w:r w:rsidR="004A784E">
        <w:rPr>
          <w:rStyle w:val="Hipervnculo"/>
          <w:rFonts w:ascii="Open Sans" w:hAnsi="Open Sans" w:cs="Open Sans"/>
          <w:sz w:val="22"/>
          <w:szCs w:val="22"/>
        </w:rPr>
        <w:fldChar w:fldCharType="end"/>
      </w:r>
      <w:r w:rsidR="0073624D" w:rsidRPr="00E964E2">
        <w:rPr>
          <w:rFonts w:ascii="Open Sans" w:hAnsi="Open Sans" w:cs="Open Sans"/>
          <w:color w:val="000000"/>
          <w:sz w:val="22"/>
          <w:szCs w:val="22"/>
        </w:rPr>
        <w:t xml:space="preserve">, una compañía líder en </w:t>
      </w:r>
      <w:proofErr w:type="spellStart"/>
      <w:r w:rsidR="0073624D" w:rsidRPr="00E964E2">
        <w:rPr>
          <w:rFonts w:ascii="Open Sans" w:hAnsi="Open Sans" w:cs="Open Sans"/>
          <w:color w:val="000000"/>
          <w:sz w:val="22"/>
          <w:szCs w:val="22"/>
        </w:rPr>
        <w:t>marketplaces</w:t>
      </w:r>
      <w:proofErr w:type="spellEnd"/>
      <w:r w:rsidR="0073624D" w:rsidRPr="00E964E2">
        <w:rPr>
          <w:rFonts w:ascii="Open Sans" w:hAnsi="Open Sans" w:cs="Open Sans"/>
          <w:color w:val="000000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24" w:tgtFrame="_blank" w:history="1">
        <w:r w:rsidR="0073624D" w:rsidRPr="00E964E2">
          <w:rPr>
            <w:rStyle w:val="Hipervnculo"/>
            <w:rFonts w:ascii="Open Sans" w:hAnsi="Open Sans" w:cs="Open Sans"/>
            <w:sz w:val="22"/>
            <w:szCs w:val="22"/>
          </w:rPr>
          <w:t>Fotocasa</w:t>
        </w:r>
      </w:hyperlink>
      <w:r w:rsidR="0073624D" w:rsidRPr="00E964E2">
        <w:rPr>
          <w:rFonts w:ascii="Open Sans" w:hAnsi="Open Sans" w:cs="Open Sans"/>
          <w:color w:val="000000"/>
          <w:sz w:val="22"/>
          <w:szCs w:val="22"/>
        </w:rPr>
        <w:t> y </w:t>
      </w:r>
      <w:proofErr w:type="spellStart"/>
      <w:r w:rsidR="004A784E">
        <w:fldChar w:fldCharType="begin"/>
      </w:r>
      <w:r w:rsidR="004A784E">
        <w:instrText xml:space="preserve"> HYPERLINK "https://www.habitaclia.com/" \t "_blank" </w:instrText>
      </w:r>
      <w:r w:rsidR="004A784E">
        <w:fldChar w:fldCharType="separate"/>
      </w:r>
      <w:r w:rsidR="0073624D" w:rsidRPr="00E964E2">
        <w:rPr>
          <w:rStyle w:val="Hipervnculo"/>
          <w:rFonts w:ascii="Open Sans" w:hAnsi="Open Sans" w:cs="Open Sans"/>
          <w:sz w:val="22"/>
          <w:szCs w:val="22"/>
        </w:rPr>
        <w:t>habitaclia</w:t>
      </w:r>
      <w:proofErr w:type="spellEnd"/>
      <w:r w:rsidR="004A784E">
        <w:rPr>
          <w:rStyle w:val="Hipervnculo"/>
          <w:rFonts w:ascii="Open Sans" w:hAnsi="Open Sans" w:cs="Open Sans"/>
          <w:sz w:val="22"/>
          <w:szCs w:val="22"/>
        </w:rPr>
        <w:fldChar w:fldCharType="end"/>
      </w:r>
      <w:r w:rsidR="0073624D" w:rsidRPr="00E964E2">
        <w:rPr>
          <w:rFonts w:ascii="Open Sans" w:hAnsi="Open Sans" w:cs="Open Sans"/>
          <w:color w:val="000000"/>
          <w:sz w:val="22"/>
          <w:szCs w:val="22"/>
        </w:rPr>
        <w:t>), empleo (</w:t>
      </w:r>
      <w:hyperlink r:id="rId25" w:tgtFrame="_blank" w:history="1">
        <w:r w:rsidR="0073624D" w:rsidRPr="00E964E2">
          <w:rPr>
            <w:rStyle w:val="Hipervnculo"/>
            <w:rFonts w:ascii="Open Sans" w:hAnsi="Open Sans" w:cs="Open Sans"/>
            <w:sz w:val="22"/>
            <w:szCs w:val="22"/>
          </w:rPr>
          <w:t>Infojobs.net</w:t>
        </w:r>
      </w:hyperlink>
      <w:r w:rsidR="0073624D" w:rsidRPr="00E964E2">
        <w:rPr>
          <w:rFonts w:ascii="Open Sans" w:hAnsi="Open Sans" w:cs="Open Sans"/>
          <w:color w:val="000000"/>
          <w:sz w:val="22"/>
          <w:szCs w:val="22"/>
        </w:rPr>
        <w:t>), motor (</w:t>
      </w:r>
      <w:hyperlink r:id="rId26" w:tgtFrame="_blank" w:history="1">
        <w:r w:rsidR="0073624D" w:rsidRPr="00E964E2">
          <w:rPr>
            <w:rStyle w:val="Hipervnculo"/>
            <w:rFonts w:ascii="Open Sans" w:hAnsi="Open Sans" w:cs="Open Sans"/>
            <w:sz w:val="22"/>
            <w:szCs w:val="22"/>
          </w:rPr>
          <w:t>coches.net</w:t>
        </w:r>
      </w:hyperlink>
      <w:r w:rsidR="0073624D" w:rsidRPr="00E964E2">
        <w:rPr>
          <w:rFonts w:ascii="Open Sans" w:hAnsi="Open Sans" w:cs="Open Sans"/>
          <w:color w:val="000000"/>
          <w:sz w:val="22"/>
          <w:szCs w:val="22"/>
        </w:rPr>
        <w:t> y </w:t>
      </w:r>
      <w:hyperlink r:id="rId27" w:tgtFrame="_blank" w:history="1">
        <w:r w:rsidR="0073624D" w:rsidRPr="00E964E2">
          <w:rPr>
            <w:rStyle w:val="Hipervnculo"/>
            <w:rFonts w:ascii="Open Sans" w:hAnsi="Open Sans" w:cs="Open Sans"/>
            <w:sz w:val="22"/>
            <w:szCs w:val="22"/>
          </w:rPr>
          <w:t>motos.ne</w:t>
        </w:r>
      </w:hyperlink>
      <w:r w:rsidR="0073624D" w:rsidRPr="00E964E2">
        <w:rPr>
          <w:rFonts w:ascii="Open Sans" w:hAnsi="Open Sans" w:cs="Open Sans"/>
          <w:color w:val="000000"/>
          <w:sz w:val="22"/>
          <w:szCs w:val="22"/>
        </w:rPr>
        <w:t>t) y compraventa de artículos de segunda mano (</w:t>
      </w:r>
      <w:proofErr w:type="spellStart"/>
      <w:r w:rsidR="004A784E">
        <w:fldChar w:fldCharType="begin"/>
      </w:r>
      <w:r w:rsidR="004A784E">
        <w:instrText xml:space="preserve"> HYPERLINK "https://www.milanuncios.es/" \t "_blank" </w:instrText>
      </w:r>
      <w:r w:rsidR="004A784E">
        <w:fldChar w:fldCharType="separate"/>
      </w:r>
      <w:r w:rsidR="0073624D" w:rsidRPr="00E964E2">
        <w:rPr>
          <w:rStyle w:val="Hipervnculo"/>
          <w:rFonts w:ascii="Open Sans" w:hAnsi="Open Sans" w:cs="Open Sans"/>
          <w:sz w:val="22"/>
          <w:szCs w:val="22"/>
        </w:rPr>
        <w:t>Milanuncios</w:t>
      </w:r>
      <w:proofErr w:type="spellEnd"/>
      <w:r w:rsidR="004A784E">
        <w:rPr>
          <w:rStyle w:val="Hipervnculo"/>
          <w:rFonts w:ascii="Open Sans" w:hAnsi="Open Sans" w:cs="Open Sans"/>
          <w:sz w:val="22"/>
          <w:szCs w:val="22"/>
        </w:rPr>
        <w:fldChar w:fldCharType="end"/>
      </w:r>
      <w:r w:rsidR="0073624D" w:rsidRPr="00E964E2">
        <w:rPr>
          <w:rFonts w:ascii="Open Sans" w:hAnsi="Open Sans" w:cs="Open Sans"/>
          <w:color w:val="000000"/>
          <w:sz w:val="22"/>
          <w:szCs w:val="22"/>
        </w:rPr>
        <w:t> y </w:t>
      </w:r>
      <w:proofErr w:type="spellStart"/>
      <w:r w:rsidR="004A784E">
        <w:fldChar w:fldCharType="begin"/>
      </w:r>
      <w:r w:rsidR="004A784E">
        <w:instrText xml:space="preserve"> HYPERLINK "https://www.vibbo.com/" \t "_blank" </w:instrText>
      </w:r>
      <w:r w:rsidR="004A784E">
        <w:fldChar w:fldCharType="separate"/>
      </w:r>
      <w:r w:rsidR="0073624D" w:rsidRPr="00E964E2">
        <w:rPr>
          <w:rStyle w:val="Hipervnculo"/>
          <w:rFonts w:ascii="Open Sans" w:hAnsi="Open Sans" w:cs="Open Sans"/>
          <w:sz w:val="22"/>
          <w:szCs w:val="22"/>
        </w:rPr>
        <w:t>vibbo</w:t>
      </w:r>
      <w:proofErr w:type="spellEnd"/>
      <w:r w:rsidR="004A784E">
        <w:rPr>
          <w:rStyle w:val="Hipervnculo"/>
          <w:rFonts w:ascii="Open Sans" w:hAnsi="Open Sans" w:cs="Open Sans"/>
          <w:sz w:val="22"/>
          <w:szCs w:val="22"/>
        </w:rPr>
        <w:fldChar w:fldCharType="end"/>
      </w:r>
      <w:r w:rsidR="0073624D" w:rsidRPr="00E964E2">
        <w:rPr>
          <w:rFonts w:ascii="Open Sans" w:hAnsi="Open Sans" w:cs="Open Sans"/>
          <w:color w:val="000000"/>
          <w:sz w:val="22"/>
          <w:szCs w:val="22"/>
        </w:rPr>
        <w:t>).</w:t>
      </w:r>
    </w:p>
    <w:p w14:paraId="2C1B3071" w14:textId="77777777" w:rsidR="0073624D" w:rsidRPr="00E964E2" w:rsidRDefault="0073624D" w:rsidP="0073624D">
      <w:pPr>
        <w:pStyle w:val="NormalWeb"/>
        <w:shd w:val="clear" w:color="auto" w:fill="FFFFFF"/>
        <w:spacing w:line="276" w:lineRule="atLeast"/>
        <w:ind w:right="-567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964E2">
        <w:rPr>
          <w:rFonts w:ascii="Open Sans" w:hAnsi="Open Sans" w:cs="Open Sans"/>
          <w:color w:val="000000"/>
          <w:sz w:val="22"/>
          <w:szCs w:val="22"/>
        </w:rPr>
        <w:t xml:space="preserve">Los negocios de </w:t>
      </w:r>
      <w:proofErr w:type="spellStart"/>
      <w:r w:rsidRPr="00E964E2">
        <w:rPr>
          <w:rFonts w:ascii="Open Sans" w:hAnsi="Open Sans" w:cs="Open Sans"/>
          <w:color w:val="000000"/>
          <w:sz w:val="22"/>
          <w:szCs w:val="22"/>
        </w:rPr>
        <w:t>Adevinta</w:t>
      </w:r>
      <w:proofErr w:type="spellEnd"/>
      <w:r w:rsidRPr="00E964E2">
        <w:rPr>
          <w:rFonts w:ascii="Open Sans" w:hAnsi="Open Sans" w:cs="Open Sans"/>
          <w:color w:val="000000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1.100 empleados comprometidos con fomentar un cambio positivo en el mundo a través de tecnología innovadora, otorgando una nueva oportunidad a quienes la están buscando y dando a las cosas una segunda vida.</w:t>
      </w:r>
    </w:p>
    <w:p w14:paraId="2A1E35AB" w14:textId="77777777" w:rsidR="0073624D" w:rsidRPr="00E964E2" w:rsidRDefault="0073624D" w:rsidP="0073624D">
      <w:pPr>
        <w:pStyle w:val="NormalWeb"/>
        <w:shd w:val="clear" w:color="auto" w:fill="FFFFFF"/>
        <w:spacing w:line="276" w:lineRule="atLeast"/>
        <w:ind w:right="-567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964E2">
        <w:rPr>
          <w:rFonts w:ascii="Open Sans" w:hAnsi="Open Sans" w:cs="Open Sans"/>
          <w:color w:val="000000"/>
          <w:sz w:val="22"/>
          <w:szCs w:val="22"/>
        </w:rPr>
        <w:t xml:space="preserve">Además de en España, </w:t>
      </w:r>
      <w:proofErr w:type="spellStart"/>
      <w:r w:rsidRPr="00E964E2">
        <w:rPr>
          <w:rFonts w:ascii="Open Sans" w:hAnsi="Open Sans" w:cs="Open Sans"/>
          <w:color w:val="000000"/>
          <w:sz w:val="22"/>
          <w:szCs w:val="22"/>
        </w:rPr>
        <w:t>Adevinta</w:t>
      </w:r>
      <w:proofErr w:type="spellEnd"/>
      <w:r w:rsidRPr="00E964E2">
        <w:rPr>
          <w:rFonts w:ascii="Open Sans" w:hAnsi="Open Sans" w:cs="Open Sans"/>
          <w:color w:val="000000"/>
          <w:sz w:val="22"/>
          <w:szCs w:val="22"/>
        </w:rPr>
        <w:t xml:space="preserve"> tiene presencia en 14 países más de Europa, América Latina y África del Norte. El conjunto de sus plataformas locales recibe un promedio de 1.500 millones de visitas cada mes. </w:t>
      </w:r>
    </w:p>
    <w:p w14:paraId="63FDBA0F" w14:textId="77777777" w:rsidR="0073624D" w:rsidRDefault="0073624D" w:rsidP="0073624D">
      <w:pPr>
        <w:pStyle w:val="NormalWeb"/>
        <w:shd w:val="clear" w:color="auto" w:fill="FFFFFF"/>
        <w:spacing w:line="276" w:lineRule="atLeast"/>
        <w:ind w:right="-567"/>
        <w:jc w:val="both"/>
        <w:rPr>
          <w:rStyle w:val="Hipervnculo"/>
          <w:rFonts w:ascii="Open Sans" w:hAnsi="Open Sans" w:cs="Open Sans"/>
          <w:sz w:val="22"/>
          <w:szCs w:val="22"/>
        </w:rPr>
      </w:pPr>
      <w:r w:rsidRPr="00E964E2">
        <w:rPr>
          <w:rFonts w:ascii="Open Sans" w:hAnsi="Open Sans" w:cs="Open Sans"/>
          <w:color w:val="000000"/>
          <w:sz w:val="22"/>
          <w:szCs w:val="22"/>
        </w:rPr>
        <w:t xml:space="preserve">Más información en </w:t>
      </w:r>
      <w:hyperlink r:id="rId28" w:history="1">
        <w:r w:rsidRPr="00E964E2">
          <w:rPr>
            <w:rStyle w:val="Hipervnculo"/>
            <w:rFonts w:ascii="Open Sans" w:hAnsi="Open Sans" w:cs="Open Sans"/>
            <w:sz w:val="22"/>
            <w:szCs w:val="22"/>
          </w:rPr>
          <w:t>adevinta.es</w:t>
        </w:r>
      </w:hyperlink>
    </w:p>
    <w:p w14:paraId="602775FC" w14:textId="77777777" w:rsidR="00360718" w:rsidRDefault="00360718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5EE214D2" w14:textId="77777777" w:rsidR="00CA705D" w:rsidRDefault="00CA705D" w:rsidP="00066ED2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678E08C1" w14:textId="77777777" w:rsidR="00CA705D" w:rsidRDefault="00CA705D" w:rsidP="00066ED2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6FE5970F" w14:textId="6B9D50FF" w:rsidR="00066ED2" w:rsidRPr="00B41A97" w:rsidRDefault="00066ED2" w:rsidP="00066ED2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lastRenderedPageBreak/>
        <w:t>D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epartamento de Comunicación de 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55E10D77" w14:textId="77777777" w:rsidR="00066ED2" w:rsidRPr="0073624D" w:rsidRDefault="00066ED2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73624D">
        <w:rPr>
          <w:rFonts w:ascii="Open Sans" w:hAnsi="Open Sans" w:cs="Open Sans"/>
          <w:b/>
          <w:bCs/>
          <w:color w:val="000000"/>
          <w:sz w:val="23"/>
          <w:szCs w:val="23"/>
        </w:rPr>
        <w:t>Anaïs López</w:t>
      </w:r>
    </w:p>
    <w:p w14:paraId="35CE612D" w14:textId="77777777" w:rsidR="00066ED2" w:rsidRPr="0073624D" w:rsidRDefault="00066ED2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3"/>
          <w:szCs w:val="23"/>
        </w:rPr>
      </w:pPr>
      <w:r w:rsidRPr="0073624D">
        <w:rPr>
          <w:rFonts w:ascii="Open Sans" w:hAnsi="Open Sans" w:cs="Open Sans"/>
          <w:color w:val="000000"/>
          <w:sz w:val="23"/>
          <w:szCs w:val="23"/>
        </w:rPr>
        <w:t>Móvil: 620 66 29 26</w:t>
      </w:r>
    </w:p>
    <w:p w14:paraId="4972D81C" w14:textId="77777777" w:rsidR="00066ED2" w:rsidRPr="0073624D" w:rsidRDefault="00665F1F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3"/>
          <w:szCs w:val="23"/>
        </w:rPr>
      </w:pPr>
      <w:hyperlink r:id="rId29" w:history="1">
        <w:r w:rsidR="00066ED2" w:rsidRPr="0073624D">
          <w:rPr>
            <w:rStyle w:val="Hipervnculo"/>
            <w:rFonts w:ascii="Open Sans" w:hAnsi="Open Sans" w:cs="Open Sans"/>
            <w:sz w:val="23"/>
            <w:szCs w:val="23"/>
          </w:rPr>
          <w:t>comunicacion@fotocasa.es</w:t>
        </w:r>
      </w:hyperlink>
    </w:p>
    <w:p w14:paraId="55D97F11" w14:textId="77777777" w:rsidR="00066ED2" w:rsidRPr="0073624D" w:rsidRDefault="00665F1F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3"/>
          <w:szCs w:val="23"/>
        </w:rPr>
      </w:pPr>
      <w:hyperlink r:id="rId30" w:history="1">
        <w:r w:rsidR="00066ED2" w:rsidRPr="0073624D">
          <w:rPr>
            <w:rStyle w:val="Hipervnculo"/>
            <w:rFonts w:ascii="Open Sans" w:hAnsi="Open Sans" w:cs="Open Sans"/>
            <w:sz w:val="23"/>
            <w:szCs w:val="23"/>
          </w:rPr>
          <w:t>http://prensa.fotocasa.es</w:t>
        </w:r>
      </w:hyperlink>
    </w:p>
    <w:p w14:paraId="13EC814D" w14:textId="77777777" w:rsidR="00066ED2" w:rsidRPr="0073624D" w:rsidRDefault="00066ED2" w:rsidP="00066ED2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3"/>
          <w:szCs w:val="23"/>
        </w:rPr>
      </w:pPr>
      <w:proofErr w:type="spellStart"/>
      <w:r w:rsidRPr="0073624D">
        <w:rPr>
          <w:rFonts w:ascii="Open Sans" w:hAnsi="Open Sans" w:cs="Open Sans"/>
          <w:color w:val="000000"/>
          <w:sz w:val="23"/>
          <w:szCs w:val="23"/>
        </w:rPr>
        <w:t>twitter</w:t>
      </w:r>
      <w:proofErr w:type="spellEnd"/>
      <w:r w:rsidRPr="0073624D">
        <w:rPr>
          <w:rFonts w:ascii="Open Sans" w:hAnsi="Open Sans" w:cs="Open Sans"/>
          <w:color w:val="000000"/>
          <w:sz w:val="23"/>
          <w:szCs w:val="23"/>
        </w:rPr>
        <w:t>: @</w:t>
      </w:r>
      <w:proofErr w:type="spellStart"/>
      <w:r w:rsidRPr="0073624D">
        <w:rPr>
          <w:rFonts w:ascii="Open Sans" w:hAnsi="Open Sans" w:cs="Open Sans"/>
          <w:color w:val="000000"/>
          <w:sz w:val="23"/>
          <w:szCs w:val="23"/>
        </w:rPr>
        <w:t>fotocasa</w:t>
      </w:r>
      <w:proofErr w:type="spellEnd"/>
    </w:p>
    <w:p w14:paraId="73291D71" w14:textId="77777777" w:rsidR="00B41A97" w:rsidRPr="00010ECE" w:rsidRDefault="00B41A9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</w:p>
    <w:sectPr w:rsidR="00B41A97" w:rsidRPr="00010ECE" w:rsidSect="007A55E0">
      <w:footerReference w:type="default" r:id="rId3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A52C0" w14:textId="77777777" w:rsidR="00665F1F" w:rsidRDefault="00665F1F" w:rsidP="00DD4CA4">
      <w:r>
        <w:separator/>
      </w:r>
    </w:p>
  </w:endnote>
  <w:endnote w:type="continuationSeparator" w:id="0">
    <w:p w14:paraId="5D1F0D96" w14:textId="77777777" w:rsidR="00665F1F" w:rsidRDefault="00665F1F" w:rsidP="00DD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tional">
    <w:altName w:val="Corbel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936C8" w14:textId="77777777" w:rsidR="00D053D7" w:rsidRDefault="00D053D7">
    <w:pPr>
      <w:pStyle w:val="Piedepgina"/>
    </w:pPr>
    <w:r>
      <w:rPr>
        <w:rFonts w:ascii="Open Sans" w:hAnsi="Open Sans" w:cs="Open Sans"/>
        <w:noProof/>
        <w:color w:val="000000"/>
        <w:sz w:val="21"/>
        <w:szCs w:val="21"/>
        <w:lang w:val="es-ES" w:eastAsia="es-ES" w:bidi="ks-Deva"/>
      </w:rPr>
      <w:drawing>
        <wp:anchor distT="0" distB="0" distL="114300" distR="114300" simplePos="0" relativeHeight="251659264" behindDoc="1" locked="0" layoutInCell="1" allowOverlap="1" wp14:anchorId="7A658EAD" wp14:editId="251F6A1A">
          <wp:simplePos x="0" y="0"/>
          <wp:positionH relativeFrom="column">
            <wp:posOffset>-1068070</wp:posOffset>
          </wp:positionH>
          <wp:positionV relativeFrom="paragraph">
            <wp:posOffset>174608</wp:posOffset>
          </wp:positionV>
          <wp:extent cx="7670550" cy="451315"/>
          <wp:effectExtent l="0" t="0" r="0" b="635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_Nd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E10A" w14:textId="77777777" w:rsidR="00665F1F" w:rsidRDefault="00665F1F" w:rsidP="00DD4CA4">
      <w:r>
        <w:separator/>
      </w:r>
    </w:p>
  </w:footnote>
  <w:footnote w:type="continuationSeparator" w:id="0">
    <w:p w14:paraId="159EB268" w14:textId="77777777" w:rsidR="00665F1F" w:rsidRDefault="00665F1F" w:rsidP="00DD4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57E20"/>
    <w:multiLevelType w:val="hybridMultilevel"/>
    <w:tmpl w:val="C30C5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A0A67"/>
    <w:multiLevelType w:val="hybridMultilevel"/>
    <w:tmpl w:val="1772DF82"/>
    <w:lvl w:ilvl="0" w:tplc="F8F8F9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D6F5BC2"/>
    <w:multiLevelType w:val="multilevel"/>
    <w:tmpl w:val="E13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B22EA9"/>
    <w:multiLevelType w:val="hybridMultilevel"/>
    <w:tmpl w:val="A7CA6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24275"/>
    <w:multiLevelType w:val="hybridMultilevel"/>
    <w:tmpl w:val="8CE6C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61786"/>
    <w:multiLevelType w:val="multilevel"/>
    <w:tmpl w:val="3C42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C4E6B"/>
    <w:multiLevelType w:val="hybridMultilevel"/>
    <w:tmpl w:val="47F6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A7"/>
    <w:rsid w:val="000019FD"/>
    <w:rsid w:val="00010ECE"/>
    <w:rsid w:val="00014EC0"/>
    <w:rsid w:val="00045101"/>
    <w:rsid w:val="000528EE"/>
    <w:rsid w:val="00053E6E"/>
    <w:rsid w:val="000613F7"/>
    <w:rsid w:val="00063144"/>
    <w:rsid w:val="00066ED2"/>
    <w:rsid w:val="00067851"/>
    <w:rsid w:val="00084308"/>
    <w:rsid w:val="00096EA4"/>
    <w:rsid w:val="000A3C1F"/>
    <w:rsid w:val="000A4242"/>
    <w:rsid w:val="000B133D"/>
    <w:rsid w:val="000B51A7"/>
    <w:rsid w:val="000D2031"/>
    <w:rsid w:val="000E4E73"/>
    <w:rsid w:val="000F12F1"/>
    <w:rsid w:val="00111E59"/>
    <w:rsid w:val="001161C5"/>
    <w:rsid w:val="001239D5"/>
    <w:rsid w:val="00124C2D"/>
    <w:rsid w:val="00143BF3"/>
    <w:rsid w:val="001517D2"/>
    <w:rsid w:val="00152FC9"/>
    <w:rsid w:val="00160389"/>
    <w:rsid w:val="00160576"/>
    <w:rsid w:val="0016586E"/>
    <w:rsid w:val="00176254"/>
    <w:rsid w:val="00187BE6"/>
    <w:rsid w:val="00187CA6"/>
    <w:rsid w:val="00190F3A"/>
    <w:rsid w:val="00193259"/>
    <w:rsid w:val="00193F27"/>
    <w:rsid w:val="00196144"/>
    <w:rsid w:val="001A54AF"/>
    <w:rsid w:val="001B395F"/>
    <w:rsid w:val="001B4AD2"/>
    <w:rsid w:val="001C6988"/>
    <w:rsid w:val="001D136F"/>
    <w:rsid w:val="001E654C"/>
    <w:rsid w:val="001E69C0"/>
    <w:rsid w:val="001F5833"/>
    <w:rsid w:val="00202CD8"/>
    <w:rsid w:val="00203D34"/>
    <w:rsid w:val="0021227D"/>
    <w:rsid w:val="00212D1E"/>
    <w:rsid w:val="0021639C"/>
    <w:rsid w:val="00240BF9"/>
    <w:rsid w:val="00246304"/>
    <w:rsid w:val="00247090"/>
    <w:rsid w:val="002632D7"/>
    <w:rsid w:val="002747EF"/>
    <w:rsid w:val="002765D6"/>
    <w:rsid w:val="00285782"/>
    <w:rsid w:val="0028629C"/>
    <w:rsid w:val="00292293"/>
    <w:rsid w:val="00293404"/>
    <w:rsid w:val="002A1F65"/>
    <w:rsid w:val="002A35C0"/>
    <w:rsid w:val="002A73D9"/>
    <w:rsid w:val="002B6E3D"/>
    <w:rsid w:val="002B76EA"/>
    <w:rsid w:val="002C4A56"/>
    <w:rsid w:val="002C4C3D"/>
    <w:rsid w:val="002C7446"/>
    <w:rsid w:val="002D3289"/>
    <w:rsid w:val="002E5B9B"/>
    <w:rsid w:val="0030786F"/>
    <w:rsid w:val="00307DF9"/>
    <w:rsid w:val="003242DF"/>
    <w:rsid w:val="00324988"/>
    <w:rsid w:val="00324DA6"/>
    <w:rsid w:val="00341A40"/>
    <w:rsid w:val="0034229E"/>
    <w:rsid w:val="00350CCB"/>
    <w:rsid w:val="003512C3"/>
    <w:rsid w:val="003517EC"/>
    <w:rsid w:val="00351CB1"/>
    <w:rsid w:val="00360718"/>
    <w:rsid w:val="00370713"/>
    <w:rsid w:val="003734B0"/>
    <w:rsid w:val="0039057C"/>
    <w:rsid w:val="00393365"/>
    <w:rsid w:val="003947F3"/>
    <w:rsid w:val="003A170B"/>
    <w:rsid w:val="003A3763"/>
    <w:rsid w:val="003A628E"/>
    <w:rsid w:val="003B486C"/>
    <w:rsid w:val="003D4F4D"/>
    <w:rsid w:val="003D6F24"/>
    <w:rsid w:val="003F4390"/>
    <w:rsid w:val="003F5840"/>
    <w:rsid w:val="004029F8"/>
    <w:rsid w:val="00406C13"/>
    <w:rsid w:val="00415455"/>
    <w:rsid w:val="004354C0"/>
    <w:rsid w:val="004378AC"/>
    <w:rsid w:val="00440439"/>
    <w:rsid w:val="00440902"/>
    <w:rsid w:val="00453FB5"/>
    <w:rsid w:val="00454F4C"/>
    <w:rsid w:val="004577E7"/>
    <w:rsid w:val="00460CF6"/>
    <w:rsid w:val="00473943"/>
    <w:rsid w:val="00481CB0"/>
    <w:rsid w:val="00486DBF"/>
    <w:rsid w:val="004952C8"/>
    <w:rsid w:val="004A36D3"/>
    <w:rsid w:val="004A5EBA"/>
    <w:rsid w:val="004A784E"/>
    <w:rsid w:val="004B0DEC"/>
    <w:rsid w:val="004B347C"/>
    <w:rsid w:val="004D48B4"/>
    <w:rsid w:val="004E7399"/>
    <w:rsid w:val="004F5805"/>
    <w:rsid w:val="00500FCB"/>
    <w:rsid w:val="005029E9"/>
    <w:rsid w:val="00503F5B"/>
    <w:rsid w:val="00516F9C"/>
    <w:rsid w:val="00520EE0"/>
    <w:rsid w:val="00540BD9"/>
    <w:rsid w:val="00581903"/>
    <w:rsid w:val="00587182"/>
    <w:rsid w:val="00593D08"/>
    <w:rsid w:val="005A1AD1"/>
    <w:rsid w:val="005A4CB5"/>
    <w:rsid w:val="005A5D5A"/>
    <w:rsid w:val="005B41BB"/>
    <w:rsid w:val="005C09DC"/>
    <w:rsid w:val="005C4988"/>
    <w:rsid w:val="005C7DDE"/>
    <w:rsid w:val="005D12D9"/>
    <w:rsid w:val="005E0920"/>
    <w:rsid w:val="005E40CC"/>
    <w:rsid w:val="005E63B5"/>
    <w:rsid w:val="005E71CA"/>
    <w:rsid w:val="005F21E1"/>
    <w:rsid w:val="005F6CA3"/>
    <w:rsid w:val="005F7C3C"/>
    <w:rsid w:val="00606A1A"/>
    <w:rsid w:val="00610923"/>
    <w:rsid w:val="006110D4"/>
    <w:rsid w:val="006242E3"/>
    <w:rsid w:val="006245F1"/>
    <w:rsid w:val="006251BA"/>
    <w:rsid w:val="006276E5"/>
    <w:rsid w:val="00633BFF"/>
    <w:rsid w:val="00636E1A"/>
    <w:rsid w:val="0063732D"/>
    <w:rsid w:val="00637401"/>
    <w:rsid w:val="0065058B"/>
    <w:rsid w:val="00650951"/>
    <w:rsid w:val="006618CC"/>
    <w:rsid w:val="00665F1F"/>
    <w:rsid w:val="00686577"/>
    <w:rsid w:val="006B22BB"/>
    <w:rsid w:val="006B70E1"/>
    <w:rsid w:val="006C649C"/>
    <w:rsid w:val="006D1E41"/>
    <w:rsid w:val="006D3E3B"/>
    <w:rsid w:val="006D3EB9"/>
    <w:rsid w:val="006F6575"/>
    <w:rsid w:val="006F6807"/>
    <w:rsid w:val="007027AA"/>
    <w:rsid w:val="007040B2"/>
    <w:rsid w:val="0071058F"/>
    <w:rsid w:val="00711BBE"/>
    <w:rsid w:val="00725DDD"/>
    <w:rsid w:val="007345F3"/>
    <w:rsid w:val="0073624D"/>
    <w:rsid w:val="00736F3A"/>
    <w:rsid w:val="00753088"/>
    <w:rsid w:val="00756076"/>
    <w:rsid w:val="00760547"/>
    <w:rsid w:val="0076156F"/>
    <w:rsid w:val="00782E91"/>
    <w:rsid w:val="00786EE9"/>
    <w:rsid w:val="00787209"/>
    <w:rsid w:val="007914FF"/>
    <w:rsid w:val="00793775"/>
    <w:rsid w:val="007A2DB6"/>
    <w:rsid w:val="007A36CB"/>
    <w:rsid w:val="007A55E0"/>
    <w:rsid w:val="007C4E4A"/>
    <w:rsid w:val="007E7286"/>
    <w:rsid w:val="007F637B"/>
    <w:rsid w:val="008109EE"/>
    <w:rsid w:val="00821FF7"/>
    <w:rsid w:val="00825E71"/>
    <w:rsid w:val="00835805"/>
    <w:rsid w:val="00847032"/>
    <w:rsid w:val="008471F8"/>
    <w:rsid w:val="00850A06"/>
    <w:rsid w:val="008610CC"/>
    <w:rsid w:val="00863400"/>
    <w:rsid w:val="00876494"/>
    <w:rsid w:val="00877B05"/>
    <w:rsid w:val="00881334"/>
    <w:rsid w:val="008871B3"/>
    <w:rsid w:val="008B42CA"/>
    <w:rsid w:val="008B478E"/>
    <w:rsid w:val="008B77EB"/>
    <w:rsid w:val="008C0B75"/>
    <w:rsid w:val="008C2B02"/>
    <w:rsid w:val="008D18E1"/>
    <w:rsid w:val="008D2DD9"/>
    <w:rsid w:val="008E10EA"/>
    <w:rsid w:val="008E1900"/>
    <w:rsid w:val="008F097C"/>
    <w:rsid w:val="008F6F5A"/>
    <w:rsid w:val="009159B6"/>
    <w:rsid w:val="0091623A"/>
    <w:rsid w:val="0093735E"/>
    <w:rsid w:val="00937684"/>
    <w:rsid w:val="009409BA"/>
    <w:rsid w:val="0094789F"/>
    <w:rsid w:val="00954F5E"/>
    <w:rsid w:val="009568E0"/>
    <w:rsid w:val="00961266"/>
    <w:rsid w:val="00964BED"/>
    <w:rsid w:val="00966C6F"/>
    <w:rsid w:val="009679EF"/>
    <w:rsid w:val="00972E67"/>
    <w:rsid w:val="00973082"/>
    <w:rsid w:val="00977784"/>
    <w:rsid w:val="00996159"/>
    <w:rsid w:val="009A5C3C"/>
    <w:rsid w:val="009A5E1C"/>
    <w:rsid w:val="009B4522"/>
    <w:rsid w:val="009B5664"/>
    <w:rsid w:val="009B6F88"/>
    <w:rsid w:val="009C0542"/>
    <w:rsid w:val="009C5433"/>
    <w:rsid w:val="009D2F77"/>
    <w:rsid w:val="009D5ED0"/>
    <w:rsid w:val="009D718A"/>
    <w:rsid w:val="009E7C1E"/>
    <w:rsid w:val="00A0075E"/>
    <w:rsid w:val="00A144BB"/>
    <w:rsid w:val="00A156BD"/>
    <w:rsid w:val="00A17839"/>
    <w:rsid w:val="00A336F6"/>
    <w:rsid w:val="00A338CE"/>
    <w:rsid w:val="00A55BB4"/>
    <w:rsid w:val="00A62AD4"/>
    <w:rsid w:val="00A667E9"/>
    <w:rsid w:val="00A72936"/>
    <w:rsid w:val="00A76E50"/>
    <w:rsid w:val="00A82B83"/>
    <w:rsid w:val="00A82C78"/>
    <w:rsid w:val="00A84CA7"/>
    <w:rsid w:val="00AA376B"/>
    <w:rsid w:val="00AA4092"/>
    <w:rsid w:val="00AA440F"/>
    <w:rsid w:val="00AC03B7"/>
    <w:rsid w:val="00AD0C78"/>
    <w:rsid w:val="00AD0F7C"/>
    <w:rsid w:val="00AD62DD"/>
    <w:rsid w:val="00AF163D"/>
    <w:rsid w:val="00AF71C6"/>
    <w:rsid w:val="00AF752E"/>
    <w:rsid w:val="00B04900"/>
    <w:rsid w:val="00B10769"/>
    <w:rsid w:val="00B41A97"/>
    <w:rsid w:val="00B53171"/>
    <w:rsid w:val="00B6101B"/>
    <w:rsid w:val="00B638F2"/>
    <w:rsid w:val="00B63B9E"/>
    <w:rsid w:val="00B668EA"/>
    <w:rsid w:val="00B71CCA"/>
    <w:rsid w:val="00B72990"/>
    <w:rsid w:val="00B82525"/>
    <w:rsid w:val="00B85F69"/>
    <w:rsid w:val="00B87009"/>
    <w:rsid w:val="00B94654"/>
    <w:rsid w:val="00B97DF8"/>
    <w:rsid w:val="00BB3F0E"/>
    <w:rsid w:val="00BC1D19"/>
    <w:rsid w:val="00BC37A6"/>
    <w:rsid w:val="00BC4BEA"/>
    <w:rsid w:val="00BF10C3"/>
    <w:rsid w:val="00BF2AED"/>
    <w:rsid w:val="00BF6E53"/>
    <w:rsid w:val="00C0762A"/>
    <w:rsid w:val="00C16187"/>
    <w:rsid w:val="00C637C0"/>
    <w:rsid w:val="00C6645E"/>
    <w:rsid w:val="00C728DC"/>
    <w:rsid w:val="00C72FE2"/>
    <w:rsid w:val="00C96260"/>
    <w:rsid w:val="00CA1ED3"/>
    <w:rsid w:val="00CA609D"/>
    <w:rsid w:val="00CA705D"/>
    <w:rsid w:val="00CB186E"/>
    <w:rsid w:val="00CC2113"/>
    <w:rsid w:val="00CD421F"/>
    <w:rsid w:val="00CD49F1"/>
    <w:rsid w:val="00CE4F10"/>
    <w:rsid w:val="00D01ABE"/>
    <w:rsid w:val="00D053D7"/>
    <w:rsid w:val="00D31A57"/>
    <w:rsid w:val="00D31CBC"/>
    <w:rsid w:val="00D3216D"/>
    <w:rsid w:val="00D3495E"/>
    <w:rsid w:val="00D52203"/>
    <w:rsid w:val="00D55510"/>
    <w:rsid w:val="00D6253C"/>
    <w:rsid w:val="00D66ABF"/>
    <w:rsid w:val="00D74EDF"/>
    <w:rsid w:val="00D77F38"/>
    <w:rsid w:val="00D80D2A"/>
    <w:rsid w:val="00D8519D"/>
    <w:rsid w:val="00D860D3"/>
    <w:rsid w:val="00D91C64"/>
    <w:rsid w:val="00DA7F7B"/>
    <w:rsid w:val="00DC26B1"/>
    <w:rsid w:val="00DC31E6"/>
    <w:rsid w:val="00DC68F0"/>
    <w:rsid w:val="00DC7AC3"/>
    <w:rsid w:val="00DD016A"/>
    <w:rsid w:val="00DD4CA4"/>
    <w:rsid w:val="00DF29F9"/>
    <w:rsid w:val="00DF589E"/>
    <w:rsid w:val="00E013CD"/>
    <w:rsid w:val="00E04BBA"/>
    <w:rsid w:val="00E054C5"/>
    <w:rsid w:val="00E16EA5"/>
    <w:rsid w:val="00E24222"/>
    <w:rsid w:val="00E249A2"/>
    <w:rsid w:val="00E275EE"/>
    <w:rsid w:val="00E33268"/>
    <w:rsid w:val="00E3484A"/>
    <w:rsid w:val="00E44CE3"/>
    <w:rsid w:val="00E54550"/>
    <w:rsid w:val="00E56500"/>
    <w:rsid w:val="00E60462"/>
    <w:rsid w:val="00E81343"/>
    <w:rsid w:val="00E92CC2"/>
    <w:rsid w:val="00EA31DE"/>
    <w:rsid w:val="00EA3351"/>
    <w:rsid w:val="00EA721E"/>
    <w:rsid w:val="00EB0DB7"/>
    <w:rsid w:val="00EB3CCF"/>
    <w:rsid w:val="00EB6279"/>
    <w:rsid w:val="00EB7EA5"/>
    <w:rsid w:val="00ED167B"/>
    <w:rsid w:val="00ED6CFA"/>
    <w:rsid w:val="00EE12AE"/>
    <w:rsid w:val="00EE3023"/>
    <w:rsid w:val="00EF321B"/>
    <w:rsid w:val="00F00B64"/>
    <w:rsid w:val="00F0197F"/>
    <w:rsid w:val="00F208DC"/>
    <w:rsid w:val="00F23F1C"/>
    <w:rsid w:val="00F4133E"/>
    <w:rsid w:val="00F76139"/>
    <w:rsid w:val="00F81710"/>
    <w:rsid w:val="00F83FFF"/>
    <w:rsid w:val="00F91852"/>
    <w:rsid w:val="00F9754E"/>
    <w:rsid w:val="00FA0CD5"/>
    <w:rsid w:val="00FA4744"/>
    <w:rsid w:val="00FB324D"/>
    <w:rsid w:val="00FC2201"/>
    <w:rsid w:val="00FD2A8F"/>
    <w:rsid w:val="00FD2BD5"/>
    <w:rsid w:val="00FD6A4B"/>
    <w:rsid w:val="00FE11C0"/>
    <w:rsid w:val="00FE4C89"/>
    <w:rsid w:val="00FE6386"/>
    <w:rsid w:val="00FF2AE2"/>
    <w:rsid w:val="00FF31B8"/>
    <w:rsid w:val="00FF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40D3B"/>
  <w15:docId w15:val="{9FB972BF-DF11-49B5-8942-60CC4275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2A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F2A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coches.ne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tocasa.es/indic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research.fotocasa.es/" TargetMode="External"/><Relationship Id="rId25" Type="http://schemas.openxmlformats.org/officeDocument/2006/relationships/hyperlink" Target="https://www.infojobs.net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search.fotocasa.es/experiencia-de-compra-y-venta-de-vivienda-en-el-ano-2019/" TargetMode="External"/><Relationship Id="rId20" Type="http://schemas.openxmlformats.org/officeDocument/2006/relationships/image" Target="media/image9.png"/><Relationship Id="rId29" Type="http://schemas.openxmlformats.org/officeDocument/2006/relationships/hyperlink" Target="file:///\\servidor\Users\Techsales%20Comunicaci&#243;n\CLIENTES\Fotocasa\fotocasa%202018\NP%20&#205;NDICES\Ndp%20&#237;ndices%20SEPTIEMBRE\Nueva%20Imagen%20Venta%20apoyo\comunicacion@fotocas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fotocasa.e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fotocasa.es" TargetMode="External"/><Relationship Id="rId28" Type="http://schemas.openxmlformats.org/officeDocument/2006/relationships/hyperlink" Target="https://www.adevinta.com/es/spain/" TargetMode="External"/><Relationship Id="rId10" Type="http://schemas.openxmlformats.org/officeDocument/2006/relationships/hyperlink" Target="http://www.fotocasa.es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search.fotocasa.es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esearch.fotocasa.es/" TargetMode="External"/><Relationship Id="rId27" Type="http://schemas.openxmlformats.org/officeDocument/2006/relationships/hyperlink" Target="https://motos.coches.net/" TargetMode="External"/><Relationship Id="rId30" Type="http://schemas.openxmlformats.org/officeDocument/2006/relationships/hyperlink" Target="http://prensa.fotocasa.es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33093-D149-4ED7-80F9-4D629091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6725</TotalTime>
  <Pages>10</Pages>
  <Words>1876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Urrea Rodriguez</dc:creator>
  <cp:lastModifiedBy>Anaïs López García</cp:lastModifiedBy>
  <cp:revision>115</cp:revision>
  <cp:lastPrinted>2020-07-28T11:25:00Z</cp:lastPrinted>
  <dcterms:created xsi:type="dcterms:W3CDTF">2020-03-04T13:12:00Z</dcterms:created>
  <dcterms:modified xsi:type="dcterms:W3CDTF">2020-07-28T11:27:00Z</dcterms:modified>
</cp:coreProperties>
</file>