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44905" w14:textId="77777777" w:rsidR="00A84CA7" w:rsidRDefault="00A84CA7" w:rsidP="00753088">
      <w:pPr>
        <w:ind w:right="-574"/>
      </w:pPr>
      <w:bookmarkStart w:id="0" w:name="_Hlk1467840"/>
      <w:bookmarkEnd w:id="0"/>
      <w:r>
        <w:rPr>
          <w:rFonts w:ascii="National" w:hAnsi="National"/>
          <w:noProof/>
          <w:color w:val="303AB2"/>
          <w:sz w:val="36"/>
          <w:szCs w:val="36"/>
          <w:lang w:val="es-ES" w:eastAsia="es-ES" w:bidi="ks-Deva"/>
        </w:rPr>
        <w:drawing>
          <wp:anchor distT="0" distB="0" distL="114300" distR="114300" simplePos="0" relativeHeight="251656192" behindDoc="0" locked="0" layoutInCell="1" allowOverlap="1" wp14:anchorId="3AA579EB" wp14:editId="794302FC">
            <wp:simplePos x="0" y="0"/>
            <wp:positionH relativeFrom="column">
              <wp:posOffset>-1078865</wp:posOffset>
            </wp:positionH>
            <wp:positionV relativeFrom="paragraph">
              <wp:posOffset>-350453</wp:posOffset>
            </wp:positionV>
            <wp:extent cx="7581265" cy="1019175"/>
            <wp:effectExtent l="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ecera_Nd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1EB8E" w14:textId="77777777" w:rsidR="002302A7" w:rsidRDefault="002302A7" w:rsidP="00753088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14:paraId="33667CE8" w14:textId="77777777" w:rsidR="00A84CA7" w:rsidRDefault="00A84CA7" w:rsidP="00753088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14:paraId="7DD28D58" w14:textId="77777777" w:rsidR="00A84CA7" w:rsidRDefault="00A84CA7" w:rsidP="00753088">
      <w:pPr>
        <w:ind w:right="-574"/>
        <w:rPr>
          <w:rFonts w:ascii="National" w:hAnsi="National"/>
          <w:color w:val="303AB2"/>
          <w:sz w:val="36"/>
          <w:szCs w:val="36"/>
        </w:rPr>
      </w:pPr>
    </w:p>
    <w:p w14:paraId="11856A99" w14:textId="6166A97F" w:rsidR="00753088" w:rsidRPr="000A4242" w:rsidRDefault="003335DC" w:rsidP="00753088">
      <w:pPr>
        <w:spacing w:line="276" w:lineRule="auto"/>
        <w:ind w:right="-574"/>
        <w:jc w:val="center"/>
        <w:rPr>
          <w:rFonts w:ascii="National" w:hAnsi="National"/>
          <w:b/>
          <w:bCs/>
          <w:iCs/>
          <w:color w:val="1DBDC5"/>
          <w:sz w:val="38"/>
          <w:szCs w:val="40"/>
          <w:lang w:val="es-ES"/>
        </w:rPr>
      </w:pPr>
      <w:r>
        <w:rPr>
          <w:rFonts w:ascii="National" w:hAnsi="National"/>
          <w:b/>
          <w:bCs/>
          <w:iCs/>
          <w:color w:val="1DBDC5"/>
          <w:sz w:val="38"/>
          <w:szCs w:val="40"/>
          <w:lang w:val="es-ES"/>
        </w:rPr>
        <w:t xml:space="preserve">ANÁLISIS </w:t>
      </w:r>
      <w:r w:rsidR="002E4F9D">
        <w:rPr>
          <w:rFonts w:ascii="National" w:hAnsi="National"/>
          <w:b/>
          <w:bCs/>
          <w:iCs/>
          <w:color w:val="1DBDC5"/>
          <w:sz w:val="38"/>
          <w:szCs w:val="40"/>
          <w:lang w:val="es-ES"/>
        </w:rPr>
        <w:t>RENTABILIDAD ZONAS COSTERAS</w:t>
      </w:r>
    </w:p>
    <w:p w14:paraId="46572C59" w14:textId="6F3CDFD5" w:rsidR="00516F9C" w:rsidRPr="00A52175" w:rsidRDefault="002E4F9D" w:rsidP="00A52175">
      <w:pPr>
        <w:ind w:right="-574"/>
        <w:jc w:val="center"/>
        <w:rPr>
          <w:rFonts w:ascii="National" w:hAnsi="National"/>
          <w:b/>
          <w:bCs/>
          <w:iCs/>
          <w:color w:val="303AB2"/>
          <w:sz w:val="52"/>
          <w:szCs w:val="56"/>
          <w:lang w:val="es-ES"/>
        </w:rPr>
      </w:pPr>
      <w:r>
        <w:rPr>
          <w:rFonts w:ascii="National" w:hAnsi="National"/>
          <w:b/>
          <w:bCs/>
          <w:iCs/>
          <w:color w:val="303AB2"/>
          <w:sz w:val="52"/>
          <w:szCs w:val="56"/>
          <w:lang w:val="es-ES"/>
        </w:rPr>
        <w:t>Algeciras</w:t>
      </w:r>
      <w:r w:rsidR="00111C1E">
        <w:rPr>
          <w:rFonts w:ascii="National" w:hAnsi="National"/>
          <w:b/>
          <w:bCs/>
          <w:iCs/>
          <w:color w:val="303AB2"/>
          <w:sz w:val="52"/>
          <w:szCs w:val="56"/>
          <w:lang w:val="es-ES"/>
        </w:rPr>
        <w:t>,</w:t>
      </w:r>
      <w:r>
        <w:rPr>
          <w:rFonts w:ascii="National" w:hAnsi="National"/>
          <w:b/>
          <w:bCs/>
          <w:iCs/>
          <w:color w:val="303AB2"/>
          <w:sz w:val="52"/>
          <w:szCs w:val="56"/>
          <w:lang w:val="es-ES"/>
        </w:rPr>
        <w:t xml:space="preserve"> </w:t>
      </w:r>
      <w:r w:rsidR="00111C1E">
        <w:rPr>
          <w:rFonts w:ascii="National" w:hAnsi="National"/>
          <w:b/>
          <w:bCs/>
          <w:iCs/>
          <w:color w:val="303AB2"/>
          <w:sz w:val="52"/>
          <w:szCs w:val="56"/>
          <w:lang w:val="es-ES"/>
        </w:rPr>
        <w:t>Cartagena</w:t>
      </w:r>
      <w:r>
        <w:rPr>
          <w:rFonts w:ascii="National" w:hAnsi="National"/>
          <w:b/>
          <w:bCs/>
          <w:iCs/>
          <w:color w:val="303AB2"/>
          <w:sz w:val="52"/>
          <w:szCs w:val="56"/>
          <w:lang w:val="es-ES"/>
        </w:rPr>
        <w:t xml:space="preserve">, </w:t>
      </w:r>
      <w:r w:rsidR="00111C1E" w:rsidRPr="00111C1E">
        <w:rPr>
          <w:rFonts w:ascii="National" w:hAnsi="National"/>
          <w:b/>
          <w:bCs/>
          <w:iCs/>
          <w:color w:val="303AB2"/>
          <w:sz w:val="52"/>
          <w:szCs w:val="56"/>
          <w:lang w:val="es-ES"/>
        </w:rPr>
        <w:t>Puerto de la Cruz</w:t>
      </w:r>
      <w:r w:rsidR="00111C1E">
        <w:rPr>
          <w:rFonts w:ascii="National" w:hAnsi="National"/>
          <w:b/>
          <w:bCs/>
          <w:iCs/>
          <w:color w:val="303AB2"/>
          <w:sz w:val="52"/>
          <w:szCs w:val="56"/>
          <w:lang w:val="es-ES"/>
        </w:rPr>
        <w:t xml:space="preserve"> </w:t>
      </w:r>
      <w:r>
        <w:rPr>
          <w:rFonts w:ascii="National" w:hAnsi="National"/>
          <w:b/>
          <w:bCs/>
          <w:iCs/>
          <w:color w:val="303AB2"/>
          <w:sz w:val="52"/>
          <w:szCs w:val="56"/>
          <w:lang w:val="es-ES"/>
        </w:rPr>
        <w:t xml:space="preserve">y </w:t>
      </w:r>
      <w:r w:rsidR="00111C1E">
        <w:rPr>
          <w:rFonts w:ascii="National" w:hAnsi="National"/>
          <w:b/>
          <w:bCs/>
          <w:iCs/>
          <w:color w:val="303AB2"/>
          <w:sz w:val="52"/>
          <w:szCs w:val="56"/>
          <w:lang w:val="es-ES"/>
        </w:rPr>
        <w:t>Torrevieja</w:t>
      </w:r>
      <w:r>
        <w:rPr>
          <w:rFonts w:ascii="National" w:hAnsi="National"/>
          <w:b/>
          <w:bCs/>
          <w:iCs/>
          <w:color w:val="303AB2"/>
          <w:sz w:val="52"/>
          <w:szCs w:val="56"/>
          <w:lang w:val="es-ES"/>
        </w:rPr>
        <w:t xml:space="preserve"> son los municipios costeros</w:t>
      </w:r>
      <w:r w:rsidR="005A6189">
        <w:rPr>
          <w:rFonts w:ascii="National" w:hAnsi="National"/>
          <w:b/>
          <w:bCs/>
          <w:iCs/>
          <w:color w:val="303AB2"/>
          <w:sz w:val="52"/>
          <w:szCs w:val="56"/>
          <w:lang w:val="es-ES"/>
        </w:rPr>
        <w:t xml:space="preserve"> españoles</w:t>
      </w:r>
      <w:r>
        <w:rPr>
          <w:rFonts w:ascii="National" w:hAnsi="National"/>
          <w:b/>
          <w:bCs/>
          <w:iCs/>
          <w:color w:val="303AB2"/>
          <w:sz w:val="52"/>
          <w:szCs w:val="56"/>
          <w:lang w:val="es-ES"/>
        </w:rPr>
        <w:t xml:space="preserve"> con mayor rentabilidad</w:t>
      </w:r>
    </w:p>
    <w:p w14:paraId="194D3816" w14:textId="77777777" w:rsidR="00B85F69" w:rsidRPr="005029E9" w:rsidRDefault="00B85F69" w:rsidP="008D2DD9">
      <w:pPr>
        <w:ind w:right="-574"/>
        <w:rPr>
          <w:rFonts w:ascii="National" w:hAnsi="National"/>
          <w:b/>
          <w:bCs/>
          <w:iCs/>
          <w:color w:val="303AB2"/>
          <w:sz w:val="36"/>
          <w:szCs w:val="36"/>
          <w:lang w:val="es-ES"/>
        </w:rPr>
      </w:pPr>
    </w:p>
    <w:p w14:paraId="4EEAB2BA" w14:textId="45A0F098" w:rsidR="007F341F" w:rsidRDefault="007F341F" w:rsidP="004F4D46">
      <w:pPr>
        <w:pStyle w:val="Prrafodelista"/>
        <w:numPr>
          <w:ilvl w:val="0"/>
          <w:numId w:val="7"/>
        </w:numPr>
        <w:spacing w:line="276" w:lineRule="auto"/>
        <w:ind w:right="-574"/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</w:pPr>
      <w:r w:rsidRPr="00740E53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 xml:space="preserve">La rentabilidad media en España se sitúa actualmente en un </w:t>
      </w:r>
      <w:r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6,9</w:t>
      </w:r>
      <w:r w:rsidRPr="00740E53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%</w:t>
      </w:r>
    </w:p>
    <w:p w14:paraId="326E64DF" w14:textId="23F94FEF" w:rsidR="00740E53" w:rsidRPr="00740E53" w:rsidRDefault="00840819" w:rsidP="004F4D46">
      <w:pPr>
        <w:pStyle w:val="Prrafodelista"/>
        <w:numPr>
          <w:ilvl w:val="0"/>
          <w:numId w:val="7"/>
        </w:numPr>
        <w:spacing w:line="276" w:lineRule="auto"/>
        <w:ind w:right="-574"/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</w:pPr>
      <w:r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Por tercer año consecutivo l</w:t>
      </w:r>
      <w:r w:rsidR="007F341F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 xml:space="preserve">a ciudad de </w:t>
      </w:r>
      <w:r w:rsidR="00740E53" w:rsidRPr="00740E53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Algeciras</w:t>
      </w:r>
      <w:r w:rsidR="0062018B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 xml:space="preserve"> </w:t>
      </w:r>
      <w:r w:rsidR="00740E53" w:rsidRPr="00740E53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 xml:space="preserve">es </w:t>
      </w:r>
      <w:r w:rsidR="007F341F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la más rentable con un 7,5%</w:t>
      </w:r>
      <w:r w:rsidR="00AB54EA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 xml:space="preserve">, destacando el distrito de </w:t>
      </w:r>
      <w:r w:rsidR="00AB54EA" w:rsidRPr="00AB54EA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Casco Antiguo con un 7,4%</w:t>
      </w:r>
    </w:p>
    <w:p w14:paraId="62E3E3E5" w14:textId="776DF005" w:rsidR="006A44F8" w:rsidRPr="00840819" w:rsidRDefault="00840819" w:rsidP="00B70ED6">
      <w:pPr>
        <w:pStyle w:val="Prrafodelista"/>
        <w:numPr>
          <w:ilvl w:val="0"/>
          <w:numId w:val="7"/>
        </w:numPr>
        <w:spacing w:line="276" w:lineRule="auto"/>
        <w:ind w:right="-574"/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</w:pPr>
      <w:r w:rsidRPr="00840819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Donostia - San Sebastián, Sitges y</w:t>
      </w:r>
      <w:r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 xml:space="preserve"> </w:t>
      </w:r>
      <w:r w:rsidRPr="00840819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 xml:space="preserve">Barcelona </w:t>
      </w:r>
      <w:r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c</w:t>
      </w:r>
      <w:r w:rsidRPr="00840819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apital</w:t>
      </w:r>
      <w:r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 xml:space="preserve"> </w:t>
      </w:r>
      <w:r w:rsidR="00E93B9B" w:rsidRPr="00840819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 xml:space="preserve">son los municipios costeros que ofrecen menor rentabilidad </w:t>
      </w:r>
    </w:p>
    <w:p w14:paraId="3B45DAFE" w14:textId="77777777" w:rsidR="000A4242" w:rsidRDefault="000A4242" w:rsidP="00753088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14:paraId="01EF17FF" w14:textId="18CD82D8" w:rsidR="002A35C0" w:rsidRPr="002A35C0" w:rsidRDefault="00753088" w:rsidP="00753088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Madrid, </w:t>
      </w:r>
      <w:r w:rsidR="00D965A3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30</w:t>
      </w:r>
      <w:r w:rsidR="005B3144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 de </w:t>
      </w:r>
      <w:r w:rsidR="00D965A3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junio</w:t>
      </w:r>
      <w:r w:rsidR="00FD6A4B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 de 20</w:t>
      </w:r>
      <w:r w:rsidR="00D965A3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20</w:t>
      </w:r>
    </w:p>
    <w:p w14:paraId="5EFC54EA" w14:textId="19FCD283" w:rsidR="005B3144" w:rsidRDefault="005B3144" w:rsidP="00E84EE3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06774">
        <w:rPr>
          <w:rFonts w:ascii="Open Sans" w:hAnsi="Open Sans" w:cs="Open Sans"/>
          <w:color w:val="000000"/>
          <w:sz w:val="22"/>
          <w:szCs w:val="22"/>
        </w:rPr>
        <w:t>La rentabilidad de la vivienda de costa ha ido aumentando año tras año</w:t>
      </w:r>
      <w:r w:rsidR="001F3768" w:rsidRPr="00A06774">
        <w:rPr>
          <w:rFonts w:ascii="Open Sans" w:hAnsi="Open Sans" w:cs="Open Sans"/>
          <w:color w:val="000000"/>
          <w:sz w:val="22"/>
          <w:szCs w:val="22"/>
        </w:rPr>
        <w:t xml:space="preserve"> en España</w:t>
      </w:r>
      <w:r w:rsidR="004F06A4" w:rsidRPr="00A06774">
        <w:rPr>
          <w:rFonts w:ascii="Open Sans" w:hAnsi="Open Sans" w:cs="Open Sans"/>
          <w:color w:val="000000"/>
          <w:sz w:val="22"/>
          <w:szCs w:val="22"/>
        </w:rPr>
        <w:t xml:space="preserve">. </w:t>
      </w:r>
      <w:r w:rsidR="001B011E" w:rsidRPr="00A06774">
        <w:rPr>
          <w:rFonts w:ascii="Open Sans" w:hAnsi="Open Sans" w:cs="Open Sans"/>
          <w:color w:val="000000"/>
          <w:sz w:val="22"/>
          <w:szCs w:val="22"/>
        </w:rPr>
        <w:t>Cada vez resulta más rentable a</w:t>
      </w:r>
      <w:r w:rsidR="00A227BB" w:rsidRPr="00A06774">
        <w:rPr>
          <w:rFonts w:ascii="Open Sans" w:hAnsi="Open Sans" w:cs="Open Sans"/>
          <w:color w:val="000000"/>
          <w:sz w:val="22"/>
          <w:szCs w:val="22"/>
        </w:rPr>
        <w:t>dquirir una vivienda en propiedad en una zona costera para ponerla en alquiler</w:t>
      </w:r>
      <w:r w:rsidR="001B011E" w:rsidRPr="00A06774">
        <w:rPr>
          <w:rFonts w:ascii="Open Sans" w:hAnsi="Open Sans" w:cs="Open Sans"/>
          <w:color w:val="000000"/>
          <w:sz w:val="22"/>
          <w:szCs w:val="22"/>
        </w:rPr>
        <w:t>.</w:t>
      </w:r>
      <w:r w:rsidR="00A227BB" w:rsidRPr="00A06774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4F06A4" w:rsidRPr="00A06774">
        <w:rPr>
          <w:rFonts w:ascii="Open Sans" w:hAnsi="Open Sans" w:cs="Open Sans"/>
          <w:color w:val="000000"/>
          <w:sz w:val="22"/>
          <w:szCs w:val="22"/>
        </w:rPr>
        <w:t xml:space="preserve">Es el caso de Algeciras, en Cádiz, que se sitúa </w:t>
      </w:r>
      <w:r w:rsidR="004A44C5" w:rsidRPr="00A06774">
        <w:rPr>
          <w:rFonts w:ascii="Open Sans" w:hAnsi="Open Sans" w:cs="Open Sans"/>
          <w:color w:val="000000"/>
          <w:sz w:val="22"/>
          <w:szCs w:val="22"/>
        </w:rPr>
        <w:t xml:space="preserve">por tercer año consecutivo </w:t>
      </w:r>
      <w:r w:rsidR="004F06A4" w:rsidRPr="00A06774">
        <w:rPr>
          <w:rFonts w:ascii="Open Sans" w:hAnsi="Open Sans" w:cs="Open Sans"/>
          <w:color w:val="000000"/>
          <w:sz w:val="22"/>
          <w:szCs w:val="22"/>
        </w:rPr>
        <w:t xml:space="preserve">como el municipio costero con mayor rentabilidad, con una media de </w:t>
      </w:r>
      <w:r w:rsidR="004A44C5" w:rsidRPr="00A06774">
        <w:rPr>
          <w:rFonts w:ascii="Open Sans" w:hAnsi="Open Sans" w:cs="Open Sans"/>
          <w:color w:val="000000"/>
          <w:sz w:val="22"/>
          <w:szCs w:val="22"/>
        </w:rPr>
        <w:t>7,5</w:t>
      </w:r>
      <w:r w:rsidR="004F06A4" w:rsidRPr="00A06774">
        <w:rPr>
          <w:rFonts w:ascii="Open Sans" w:hAnsi="Open Sans" w:cs="Open Sans"/>
          <w:color w:val="000000"/>
          <w:sz w:val="22"/>
          <w:szCs w:val="22"/>
        </w:rPr>
        <w:t xml:space="preserve">%, </w:t>
      </w:r>
      <w:r w:rsidR="004712E6">
        <w:rPr>
          <w:rFonts w:ascii="Open Sans" w:hAnsi="Open Sans" w:cs="Open Sans"/>
          <w:color w:val="000000"/>
          <w:sz w:val="22"/>
          <w:szCs w:val="22"/>
        </w:rPr>
        <w:t>0,6 punto más que la media española</w:t>
      </w:r>
      <w:r w:rsidR="00D011A6">
        <w:rPr>
          <w:rFonts w:ascii="Open Sans" w:hAnsi="Open Sans" w:cs="Open Sans"/>
          <w:color w:val="000000"/>
          <w:sz w:val="22"/>
          <w:szCs w:val="22"/>
        </w:rPr>
        <w:t>, con un</w:t>
      </w:r>
      <w:r w:rsidR="004712E6">
        <w:rPr>
          <w:rFonts w:ascii="Open Sans" w:hAnsi="Open Sans" w:cs="Open Sans"/>
          <w:color w:val="000000"/>
          <w:sz w:val="22"/>
          <w:szCs w:val="22"/>
        </w:rPr>
        <w:t xml:space="preserve"> 6,9%</w:t>
      </w:r>
      <w:r w:rsidR="00FC6DBE">
        <w:rPr>
          <w:rFonts w:ascii="Open Sans" w:hAnsi="Open Sans" w:cs="Open Sans"/>
          <w:color w:val="000000"/>
          <w:sz w:val="22"/>
          <w:szCs w:val="22"/>
        </w:rPr>
        <w:t xml:space="preserve"> en junio de 2020</w:t>
      </w:r>
      <w:r w:rsidR="004712E6">
        <w:rPr>
          <w:rFonts w:ascii="Open Sans" w:hAnsi="Open Sans" w:cs="Open Sans"/>
          <w:color w:val="000000"/>
          <w:sz w:val="22"/>
          <w:szCs w:val="22"/>
        </w:rPr>
        <w:t xml:space="preserve">, </w:t>
      </w:r>
      <w:r w:rsidR="004A44C5" w:rsidRPr="00A06774">
        <w:rPr>
          <w:rFonts w:ascii="Open Sans" w:hAnsi="Open Sans" w:cs="Open Sans"/>
          <w:color w:val="000000"/>
          <w:sz w:val="22"/>
          <w:szCs w:val="22"/>
        </w:rPr>
        <w:t>según los datos del</w:t>
      </w:r>
      <w:r w:rsidR="00A227BB" w:rsidRPr="00A06774">
        <w:rPr>
          <w:rFonts w:ascii="Open Sans" w:hAnsi="Open Sans" w:cs="Open Sans"/>
          <w:color w:val="000000"/>
          <w:sz w:val="22"/>
          <w:szCs w:val="22"/>
        </w:rPr>
        <w:t xml:space="preserve"> análisis </w:t>
      </w:r>
      <w:r w:rsidR="004A44C5" w:rsidRPr="00A06774">
        <w:rPr>
          <w:rFonts w:ascii="Open Sans" w:hAnsi="Open Sans" w:cs="Open Sans"/>
          <w:b/>
          <w:bCs/>
          <w:color w:val="000000"/>
          <w:sz w:val="22"/>
          <w:szCs w:val="22"/>
        </w:rPr>
        <w:t>“</w:t>
      </w:r>
      <w:r w:rsidR="0089339F" w:rsidRPr="00A06774">
        <w:rPr>
          <w:rFonts w:ascii="Open Sans" w:hAnsi="Open Sans" w:cs="Open Sans"/>
          <w:b/>
          <w:bCs/>
          <w:color w:val="000000"/>
          <w:sz w:val="22"/>
          <w:szCs w:val="22"/>
        </w:rPr>
        <w:t>R</w:t>
      </w:r>
      <w:r w:rsidR="004A44C5" w:rsidRPr="00A06774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entabilidad </w:t>
      </w:r>
      <w:r w:rsidR="00970605">
        <w:rPr>
          <w:rFonts w:ascii="Open Sans" w:hAnsi="Open Sans" w:cs="Open Sans"/>
          <w:b/>
          <w:bCs/>
          <w:color w:val="000000"/>
          <w:sz w:val="22"/>
          <w:szCs w:val="22"/>
        </w:rPr>
        <w:t>de los</w:t>
      </w:r>
      <w:r w:rsidR="004A44C5" w:rsidRPr="00A06774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municipios costeros en </w:t>
      </w:r>
      <w:r w:rsidR="001B011E" w:rsidRPr="00A06774">
        <w:rPr>
          <w:rFonts w:ascii="Open Sans" w:hAnsi="Open Sans" w:cs="Open Sans"/>
          <w:b/>
          <w:bCs/>
          <w:color w:val="000000"/>
          <w:sz w:val="22"/>
          <w:szCs w:val="22"/>
        </w:rPr>
        <w:t>verano de 2020</w:t>
      </w:r>
      <w:r w:rsidR="004A44C5" w:rsidRPr="00A06774">
        <w:rPr>
          <w:rFonts w:ascii="Open Sans" w:hAnsi="Open Sans" w:cs="Open Sans"/>
          <w:b/>
          <w:bCs/>
          <w:color w:val="000000"/>
          <w:sz w:val="22"/>
          <w:szCs w:val="22"/>
        </w:rPr>
        <w:t>”</w:t>
      </w:r>
      <w:r w:rsidR="004A44C5" w:rsidRPr="00A06774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A227BB">
        <w:rPr>
          <w:rFonts w:ascii="Open Sans" w:hAnsi="Open Sans" w:cs="Open Sans"/>
          <w:color w:val="000000"/>
          <w:sz w:val="22"/>
          <w:szCs w:val="22"/>
        </w:rPr>
        <w:t xml:space="preserve">realizado por el portal inmobiliario </w:t>
      </w:r>
      <w:hyperlink r:id="rId9" w:history="1">
        <w:r w:rsidR="004A44C5" w:rsidRPr="001F7CC7">
          <w:rPr>
            <w:rStyle w:val="Hipervnculo"/>
            <w:rFonts w:ascii="Open Sans" w:hAnsi="Open Sans" w:cs="Open Sans"/>
            <w:sz w:val="22"/>
            <w:szCs w:val="22"/>
          </w:rPr>
          <w:t>Fotocasa</w:t>
        </w:r>
      </w:hyperlink>
      <w:r w:rsidR="00A227BB">
        <w:rPr>
          <w:rFonts w:ascii="Open Sans" w:hAnsi="Open Sans" w:cs="Open Sans"/>
          <w:color w:val="000000"/>
          <w:sz w:val="22"/>
          <w:szCs w:val="22"/>
        </w:rPr>
        <w:t xml:space="preserve">, a partir de los datos de oferta del precio de la vivienda en venta y en alquiler del portal. </w:t>
      </w:r>
    </w:p>
    <w:p w14:paraId="353C6C38" w14:textId="46D400BC" w:rsidR="00DF3B05" w:rsidRDefault="00DF3B05" w:rsidP="00DF3B05">
      <w:pPr>
        <w:pStyle w:val="NormalWeb"/>
        <w:shd w:val="clear" w:color="auto" w:fill="FFFFFF"/>
        <w:spacing w:after="225" w:line="276" w:lineRule="auto"/>
        <w:ind w:right="-574"/>
        <w:jc w:val="center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Ranking de </w:t>
      </w:r>
      <w:r w:rsidRPr="00D70AD1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municipios </w:t>
      </w: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costeros con </w:t>
      </w:r>
      <w:r w:rsidRPr="00D70AD1">
        <w:rPr>
          <w:rFonts w:ascii="Open Sans Light" w:hAnsi="Open Sans Light" w:cs="Open Sans Light"/>
          <w:b/>
          <w:iCs/>
          <w:color w:val="303AB2"/>
          <w:sz w:val="28"/>
          <w:szCs w:val="22"/>
        </w:rPr>
        <w:t>mayor rentabilidad</w:t>
      </w: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en 2020</w:t>
      </w:r>
    </w:p>
    <w:p w14:paraId="49DABB49" w14:textId="0273A79C" w:rsidR="0041218A" w:rsidRDefault="00DF3B05" w:rsidP="00E84EE3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2A365398" wp14:editId="48EFA86C">
            <wp:extent cx="5688419" cy="2011045"/>
            <wp:effectExtent l="0" t="0" r="7620" b="8255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E8B93D44-AF6E-4097-AB97-00B003CCB05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9F1B110" w14:textId="7DFD700D" w:rsidR="0041218A" w:rsidRDefault="0041218A" w:rsidP="00E84EE3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“</w:t>
      </w:r>
      <w:r w:rsidR="00931C0B">
        <w:rPr>
          <w:rFonts w:ascii="Open Sans" w:hAnsi="Open Sans" w:cs="Open Sans"/>
          <w:color w:val="000000"/>
          <w:sz w:val="22"/>
          <w:szCs w:val="22"/>
        </w:rPr>
        <w:t xml:space="preserve">La vivienda continúa dando rentabilidades muy altas cercanas, de media al 7%. Esta alta rentabilidad se explica porque los precios de la vivienda de segunda mano ya hace unos meses que han empezado a experimentar descensos en los precios, a nivel nacional cercanos al -2%, y en el caso del alquiler los precios aún están lejos de empezar a caer. De hecho, en los últimos meses el precio del alquiler está registrando incrementos interanuales cercanos al 10%, lo que explica la alta rentabilidad que ofrece actualmente la vivienda.”, explica Anaïs López, directora de Comunicación de </w:t>
      </w:r>
      <w:hyperlink r:id="rId11" w:history="1">
        <w:r w:rsidR="00931C0B" w:rsidRPr="001F7CC7">
          <w:rPr>
            <w:rStyle w:val="Hipervnculo"/>
            <w:rFonts w:ascii="Open Sans" w:hAnsi="Open Sans" w:cs="Open Sans"/>
            <w:sz w:val="22"/>
            <w:szCs w:val="22"/>
          </w:rPr>
          <w:t>Fotocasa</w:t>
        </w:r>
      </w:hyperlink>
      <w:r w:rsidR="00931C0B">
        <w:rPr>
          <w:rFonts w:ascii="Open Sans" w:hAnsi="Open Sans" w:cs="Open Sans"/>
          <w:color w:val="000000"/>
          <w:sz w:val="22"/>
          <w:szCs w:val="22"/>
        </w:rPr>
        <w:t xml:space="preserve">. </w:t>
      </w:r>
    </w:p>
    <w:p w14:paraId="4F2E55EC" w14:textId="3502DF31" w:rsidR="00D965A3" w:rsidRDefault="0041218A" w:rsidP="00E84EE3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D</w:t>
      </w:r>
      <w:r w:rsidR="00D965A3">
        <w:rPr>
          <w:rFonts w:ascii="Open Sans" w:hAnsi="Open Sans" w:cs="Open Sans"/>
          <w:color w:val="000000"/>
          <w:sz w:val="22"/>
          <w:szCs w:val="22"/>
        </w:rPr>
        <w:t xml:space="preserve">espués de Algeciras, el municipio murciano de Cartagena (6,8%), el canario de </w:t>
      </w:r>
      <w:r w:rsidR="00D965A3" w:rsidRPr="001B011E">
        <w:rPr>
          <w:rFonts w:ascii="Open Sans" w:hAnsi="Open Sans" w:cs="Open Sans"/>
          <w:color w:val="000000"/>
          <w:sz w:val="22"/>
          <w:szCs w:val="22"/>
        </w:rPr>
        <w:t>Puerto de la Cruz</w:t>
      </w:r>
      <w:r w:rsidR="00D965A3">
        <w:rPr>
          <w:rFonts w:ascii="Open Sans" w:hAnsi="Open Sans" w:cs="Open Sans"/>
          <w:color w:val="000000"/>
          <w:sz w:val="22"/>
          <w:szCs w:val="22"/>
        </w:rPr>
        <w:t xml:space="preserve"> (6,5), la ciudad alicantina de Torrevieja (6,3%) y la norteña ciudad cántabra de </w:t>
      </w:r>
      <w:r w:rsidR="00D965A3" w:rsidRPr="001B011E">
        <w:rPr>
          <w:rFonts w:ascii="Open Sans" w:hAnsi="Open Sans" w:cs="Open Sans"/>
          <w:color w:val="000000"/>
          <w:sz w:val="22"/>
          <w:szCs w:val="22"/>
        </w:rPr>
        <w:t>Castro-Urdiales</w:t>
      </w:r>
      <w:r w:rsidR="00D965A3">
        <w:rPr>
          <w:rFonts w:ascii="Open Sans" w:hAnsi="Open Sans" w:cs="Open Sans"/>
          <w:color w:val="000000"/>
          <w:sz w:val="22"/>
          <w:szCs w:val="22"/>
        </w:rPr>
        <w:t xml:space="preserve"> (6,2%), se colocan como los cinco municipios costeros que generan más rentabilidad en el país.</w:t>
      </w:r>
    </w:p>
    <w:p w14:paraId="25143D42" w14:textId="33FC1049" w:rsidR="00041450" w:rsidRPr="0045662A" w:rsidRDefault="00B82416" w:rsidP="0062018B">
      <w:pPr>
        <w:pStyle w:val="NormalWeb"/>
        <w:shd w:val="clear" w:color="auto" w:fill="FFFFFF"/>
        <w:spacing w:after="225" w:line="276" w:lineRule="auto"/>
        <w:ind w:right="-574"/>
        <w:jc w:val="center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 w:rsidRPr="0045662A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Municipios de </w:t>
      </w:r>
      <w:r w:rsidR="00E4678F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la </w:t>
      </w:r>
      <w:r w:rsidRPr="0045662A">
        <w:rPr>
          <w:rFonts w:ascii="Open Sans Light" w:hAnsi="Open Sans Light" w:cs="Open Sans Light"/>
          <w:b/>
          <w:iCs/>
          <w:color w:val="303AB2"/>
          <w:sz w:val="28"/>
          <w:szCs w:val="22"/>
        </w:rPr>
        <w:t>costa con mayor rentabilidad</w:t>
      </w:r>
    </w:p>
    <w:tbl>
      <w:tblPr>
        <w:tblStyle w:val="Tabladecuadrcula5oscura-nfasis11"/>
        <w:tblpPr w:leftFromText="141" w:rightFromText="141" w:vertAnchor="text" w:horzAnchor="margin" w:tblpX="-39" w:tblpY="137"/>
        <w:tblW w:w="9186" w:type="dxa"/>
        <w:tblLook w:val="04A0" w:firstRow="1" w:lastRow="0" w:firstColumn="1" w:lastColumn="0" w:noHBand="0" w:noVBand="1"/>
      </w:tblPr>
      <w:tblGrid>
        <w:gridCol w:w="2523"/>
        <w:gridCol w:w="2552"/>
        <w:gridCol w:w="2551"/>
        <w:gridCol w:w="1560"/>
      </w:tblGrid>
      <w:tr w:rsidR="00AD1DFB" w:rsidRPr="006D4516" w14:paraId="231A86BB" w14:textId="77777777" w:rsidTr="007A21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vAlign w:val="center"/>
          </w:tcPr>
          <w:p w14:paraId="58D656DF" w14:textId="64BBF9E1" w:rsidR="00AD1DFB" w:rsidRPr="00CB52C2" w:rsidRDefault="00AD1DFB" w:rsidP="007A2126">
            <w:pPr>
              <w:rPr>
                <w:rFonts w:ascii="Open Sans Light" w:hAnsi="Open Sans Light" w:cs="Open Sans Light"/>
                <w:sz w:val="22"/>
                <w:szCs w:val="22"/>
                <w:lang w:val="es-ES"/>
              </w:rPr>
            </w:pPr>
            <w:r>
              <w:rPr>
                <w:rFonts w:ascii="Open Sans Light" w:hAnsi="Open Sans Light" w:cs="Open Sans Light"/>
                <w:sz w:val="22"/>
                <w:szCs w:val="22"/>
                <w:lang w:val="es-ES"/>
              </w:rPr>
              <w:t>CC.AA.</w:t>
            </w:r>
          </w:p>
        </w:tc>
        <w:tc>
          <w:tcPr>
            <w:tcW w:w="2552" w:type="dxa"/>
            <w:vAlign w:val="center"/>
          </w:tcPr>
          <w:p w14:paraId="31CF9044" w14:textId="6843A354" w:rsidR="00AD1DFB" w:rsidRPr="006D4516" w:rsidRDefault="00AD1DFB" w:rsidP="007A21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iCs/>
                <w:sz w:val="22"/>
                <w:szCs w:val="22"/>
                <w:lang w:val="es-ES"/>
              </w:rPr>
            </w:pPr>
            <w:r>
              <w:rPr>
                <w:rFonts w:ascii="Open Sans Light" w:hAnsi="Open Sans Light" w:cs="Open Sans Light"/>
                <w:iCs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2551" w:type="dxa"/>
            <w:vAlign w:val="center"/>
          </w:tcPr>
          <w:p w14:paraId="233F4678" w14:textId="77A28968" w:rsidR="00AD1DFB" w:rsidRPr="006D4516" w:rsidRDefault="00AD1DFB" w:rsidP="007A21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22"/>
                <w:szCs w:val="22"/>
                <w:lang w:val="es-ES"/>
              </w:rPr>
            </w:pPr>
            <w:r>
              <w:rPr>
                <w:rFonts w:ascii="Open Sans Light" w:hAnsi="Open Sans Light" w:cs="Open Sans Light"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1560" w:type="dxa"/>
            <w:vAlign w:val="center"/>
          </w:tcPr>
          <w:p w14:paraId="4D7F2E28" w14:textId="27F1E9C2" w:rsidR="00AD1DFB" w:rsidRPr="006D4516" w:rsidRDefault="00AD1DFB" w:rsidP="007A21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22"/>
                <w:szCs w:val="22"/>
                <w:lang w:val="es-ES"/>
              </w:rPr>
            </w:pPr>
            <w:r>
              <w:rPr>
                <w:rFonts w:ascii="Open Sans Light" w:hAnsi="Open Sans Light" w:cs="Open Sans Light"/>
                <w:sz w:val="22"/>
                <w:szCs w:val="22"/>
                <w:lang w:val="es-ES"/>
              </w:rPr>
              <w:t>Rentabilidad media</w:t>
            </w:r>
          </w:p>
        </w:tc>
      </w:tr>
      <w:tr w:rsidR="00E4678F" w14:paraId="6852DE7F" w14:textId="77777777" w:rsidTr="007A2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vAlign w:val="bottom"/>
          </w:tcPr>
          <w:p w14:paraId="4BAF7160" w14:textId="2DF4F922" w:rsidR="00E4678F" w:rsidRPr="00E4678F" w:rsidRDefault="00E4678F" w:rsidP="007A212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4678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Andalucía</w:t>
            </w:r>
          </w:p>
        </w:tc>
        <w:tc>
          <w:tcPr>
            <w:tcW w:w="2552" w:type="dxa"/>
            <w:vAlign w:val="bottom"/>
          </w:tcPr>
          <w:p w14:paraId="249D479E" w14:textId="50AF0B9F" w:rsidR="00E4678F" w:rsidRPr="00AD1DFB" w:rsidRDefault="00E4678F" w:rsidP="007A2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Cádiz</w:t>
            </w:r>
          </w:p>
        </w:tc>
        <w:tc>
          <w:tcPr>
            <w:tcW w:w="2551" w:type="dxa"/>
            <w:vAlign w:val="bottom"/>
          </w:tcPr>
          <w:p w14:paraId="40D146C6" w14:textId="33F27343" w:rsidR="00E4678F" w:rsidRPr="00AD1DFB" w:rsidRDefault="00E4678F" w:rsidP="007A2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Algeciras</w:t>
            </w:r>
          </w:p>
        </w:tc>
        <w:tc>
          <w:tcPr>
            <w:tcW w:w="1560" w:type="dxa"/>
            <w:vAlign w:val="bottom"/>
          </w:tcPr>
          <w:p w14:paraId="3794F39F" w14:textId="1597D7D4" w:rsidR="00E4678F" w:rsidRPr="00AD1DFB" w:rsidRDefault="00E4678F" w:rsidP="007A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7,5%</w:t>
            </w:r>
          </w:p>
        </w:tc>
      </w:tr>
      <w:tr w:rsidR="00E4678F" w14:paraId="4AA1460C" w14:textId="77777777" w:rsidTr="007A2126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vAlign w:val="bottom"/>
          </w:tcPr>
          <w:p w14:paraId="4E2E8FC5" w14:textId="6DDEB11D" w:rsidR="00E4678F" w:rsidRPr="00E4678F" w:rsidRDefault="00E4678F" w:rsidP="007A212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4678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Región de Murcia</w:t>
            </w:r>
          </w:p>
        </w:tc>
        <w:tc>
          <w:tcPr>
            <w:tcW w:w="2552" w:type="dxa"/>
            <w:vAlign w:val="bottom"/>
          </w:tcPr>
          <w:p w14:paraId="6B4E460A" w14:textId="3BDBBA23" w:rsidR="00E4678F" w:rsidRPr="00AD1DFB" w:rsidRDefault="00E4678F" w:rsidP="007A2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Murcia</w:t>
            </w:r>
          </w:p>
        </w:tc>
        <w:tc>
          <w:tcPr>
            <w:tcW w:w="2551" w:type="dxa"/>
            <w:vAlign w:val="bottom"/>
          </w:tcPr>
          <w:p w14:paraId="34E1E6CB" w14:textId="1C419099" w:rsidR="00E4678F" w:rsidRPr="00AD1DFB" w:rsidRDefault="00E4678F" w:rsidP="007A2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Cartagena</w:t>
            </w:r>
          </w:p>
        </w:tc>
        <w:tc>
          <w:tcPr>
            <w:tcW w:w="1560" w:type="dxa"/>
            <w:vAlign w:val="bottom"/>
          </w:tcPr>
          <w:p w14:paraId="595FC8A5" w14:textId="0AA57EFA" w:rsidR="00E4678F" w:rsidRPr="00AD1DFB" w:rsidRDefault="00E4678F" w:rsidP="007A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6,8%</w:t>
            </w:r>
          </w:p>
        </w:tc>
      </w:tr>
      <w:tr w:rsidR="00E4678F" w14:paraId="0533DB38" w14:textId="77777777" w:rsidTr="007A2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vAlign w:val="bottom"/>
          </w:tcPr>
          <w:p w14:paraId="2809079D" w14:textId="4BCCAECA" w:rsidR="00E4678F" w:rsidRPr="00E4678F" w:rsidRDefault="00E4678F" w:rsidP="007A212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4678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Canarias</w:t>
            </w:r>
          </w:p>
        </w:tc>
        <w:tc>
          <w:tcPr>
            <w:tcW w:w="2552" w:type="dxa"/>
            <w:vAlign w:val="bottom"/>
          </w:tcPr>
          <w:p w14:paraId="7D75CFEC" w14:textId="50A1531B" w:rsidR="00E4678F" w:rsidRPr="00AD1DFB" w:rsidRDefault="00E4678F" w:rsidP="007A2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Santa Cruz de Tenerife</w:t>
            </w:r>
          </w:p>
        </w:tc>
        <w:tc>
          <w:tcPr>
            <w:tcW w:w="2551" w:type="dxa"/>
            <w:vAlign w:val="bottom"/>
          </w:tcPr>
          <w:p w14:paraId="2BB69249" w14:textId="486BCBA6" w:rsidR="00E4678F" w:rsidRPr="00AD1DFB" w:rsidRDefault="00E4678F" w:rsidP="007A2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Puerto de la Cruz</w:t>
            </w:r>
          </w:p>
        </w:tc>
        <w:tc>
          <w:tcPr>
            <w:tcW w:w="1560" w:type="dxa"/>
            <w:vAlign w:val="bottom"/>
          </w:tcPr>
          <w:p w14:paraId="1616D69C" w14:textId="791375D5" w:rsidR="00E4678F" w:rsidRPr="00AD1DFB" w:rsidRDefault="00E4678F" w:rsidP="007A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6,5%</w:t>
            </w:r>
          </w:p>
        </w:tc>
      </w:tr>
      <w:tr w:rsidR="00E4678F" w14:paraId="70D309DC" w14:textId="77777777" w:rsidTr="007A2126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vAlign w:val="bottom"/>
          </w:tcPr>
          <w:p w14:paraId="316D9DD4" w14:textId="7834CE7D" w:rsidR="00E4678F" w:rsidRPr="00E4678F" w:rsidRDefault="00E4678F" w:rsidP="007A212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4678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Comunitat Valenciana</w:t>
            </w:r>
          </w:p>
        </w:tc>
        <w:tc>
          <w:tcPr>
            <w:tcW w:w="2552" w:type="dxa"/>
            <w:vAlign w:val="bottom"/>
          </w:tcPr>
          <w:p w14:paraId="554CA77B" w14:textId="3ADC4713" w:rsidR="00E4678F" w:rsidRPr="00AD1DFB" w:rsidRDefault="00E4678F" w:rsidP="007A2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Alicante</w:t>
            </w:r>
          </w:p>
        </w:tc>
        <w:tc>
          <w:tcPr>
            <w:tcW w:w="2551" w:type="dxa"/>
            <w:vAlign w:val="bottom"/>
          </w:tcPr>
          <w:p w14:paraId="78C1EEE0" w14:textId="160F0388" w:rsidR="00E4678F" w:rsidRPr="00AD1DFB" w:rsidRDefault="00E4678F" w:rsidP="007A2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Torrevieja</w:t>
            </w:r>
          </w:p>
        </w:tc>
        <w:tc>
          <w:tcPr>
            <w:tcW w:w="1560" w:type="dxa"/>
            <w:vAlign w:val="bottom"/>
          </w:tcPr>
          <w:p w14:paraId="42F5F55F" w14:textId="5C7D3334" w:rsidR="00E4678F" w:rsidRPr="00AD1DFB" w:rsidRDefault="00E4678F" w:rsidP="007A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6,3%</w:t>
            </w:r>
          </w:p>
        </w:tc>
      </w:tr>
      <w:tr w:rsidR="00E4678F" w14:paraId="1C12AA77" w14:textId="77777777" w:rsidTr="007A2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vAlign w:val="bottom"/>
          </w:tcPr>
          <w:p w14:paraId="6B2E40A5" w14:textId="066449A9" w:rsidR="00E4678F" w:rsidRPr="00E4678F" w:rsidRDefault="00E4678F" w:rsidP="007A212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4678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Cantabria</w:t>
            </w:r>
          </w:p>
        </w:tc>
        <w:tc>
          <w:tcPr>
            <w:tcW w:w="2552" w:type="dxa"/>
            <w:vAlign w:val="bottom"/>
          </w:tcPr>
          <w:p w14:paraId="6872E05E" w14:textId="236D9136" w:rsidR="00E4678F" w:rsidRPr="00AD1DFB" w:rsidRDefault="00E4678F" w:rsidP="007A2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Cantabria</w:t>
            </w:r>
          </w:p>
        </w:tc>
        <w:tc>
          <w:tcPr>
            <w:tcW w:w="2551" w:type="dxa"/>
            <w:vAlign w:val="bottom"/>
          </w:tcPr>
          <w:p w14:paraId="1A165BAE" w14:textId="6D7A8F61" w:rsidR="00E4678F" w:rsidRPr="00AD1DFB" w:rsidRDefault="00E4678F" w:rsidP="007A2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Castro-Urdiales</w:t>
            </w:r>
          </w:p>
        </w:tc>
        <w:tc>
          <w:tcPr>
            <w:tcW w:w="1560" w:type="dxa"/>
            <w:vAlign w:val="bottom"/>
          </w:tcPr>
          <w:p w14:paraId="66C7DA68" w14:textId="1F36111A" w:rsidR="00E4678F" w:rsidRPr="00AD1DFB" w:rsidRDefault="00E4678F" w:rsidP="007A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6,2%</w:t>
            </w:r>
          </w:p>
        </w:tc>
      </w:tr>
      <w:tr w:rsidR="00E4678F" w14:paraId="2181302B" w14:textId="77777777" w:rsidTr="007A2126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vAlign w:val="bottom"/>
          </w:tcPr>
          <w:p w14:paraId="1322532D" w14:textId="27A461E1" w:rsidR="00E4678F" w:rsidRPr="00E4678F" w:rsidRDefault="00E4678F" w:rsidP="007A212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4678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Andalucía</w:t>
            </w:r>
          </w:p>
        </w:tc>
        <w:tc>
          <w:tcPr>
            <w:tcW w:w="2552" w:type="dxa"/>
            <w:vAlign w:val="bottom"/>
          </w:tcPr>
          <w:p w14:paraId="26DDA4D0" w14:textId="3A4D2E79" w:rsidR="00E4678F" w:rsidRPr="00AD1DFB" w:rsidRDefault="00E4678F" w:rsidP="007A2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Almería</w:t>
            </w:r>
          </w:p>
        </w:tc>
        <w:tc>
          <w:tcPr>
            <w:tcW w:w="2551" w:type="dxa"/>
            <w:vAlign w:val="bottom"/>
          </w:tcPr>
          <w:p w14:paraId="200893A2" w14:textId="1E91BB13" w:rsidR="00E4678F" w:rsidRPr="00AD1DFB" w:rsidRDefault="00E4678F" w:rsidP="007A2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Almería Capital</w:t>
            </w:r>
          </w:p>
        </w:tc>
        <w:tc>
          <w:tcPr>
            <w:tcW w:w="1560" w:type="dxa"/>
            <w:vAlign w:val="bottom"/>
          </w:tcPr>
          <w:p w14:paraId="0414800D" w14:textId="0696090F" w:rsidR="00E4678F" w:rsidRPr="00AD1DFB" w:rsidRDefault="00E4678F" w:rsidP="007A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6,0%</w:t>
            </w:r>
          </w:p>
        </w:tc>
      </w:tr>
      <w:tr w:rsidR="00E4678F" w14:paraId="1D515CB6" w14:textId="77777777" w:rsidTr="007A2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vAlign w:val="bottom"/>
          </w:tcPr>
          <w:p w14:paraId="742192FF" w14:textId="5BADA247" w:rsidR="00E4678F" w:rsidRPr="00E4678F" w:rsidRDefault="00E4678F" w:rsidP="007A212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4678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Comunitat Valenciana</w:t>
            </w:r>
          </w:p>
        </w:tc>
        <w:tc>
          <w:tcPr>
            <w:tcW w:w="2552" w:type="dxa"/>
            <w:vAlign w:val="bottom"/>
          </w:tcPr>
          <w:p w14:paraId="47113560" w14:textId="7CE6E874" w:rsidR="00E4678F" w:rsidRPr="00AD1DFB" w:rsidRDefault="00E4678F" w:rsidP="007A2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Valencia</w:t>
            </w:r>
          </w:p>
        </w:tc>
        <w:tc>
          <w:tcPr>
            <w:tcW w:w="2551" w:type="dxa"/>
            <w:vAlign w:val="bottom"/>
          </w:tcPr>
          <w:p w14:paraId="7A397DB6" w14:textId="1B82D570" w:rsidR="00E4678F" w:rsidRPr="00AD1DFB" w:rsidRDefault="00E4678F" w:rsidP="007A2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Valencia Capital</w:t>
            </w:r>
          </w:p>
        </w:tc>
        <w:tc>
          <w:tcPr>
            <w:tcW w:w="1560" w:type="dxa"/>
            <w:vAlign w:val="bottom"/>
          </w:tcPr>
          <w:p w14:paraId="0A98A728" w14:textId="4F134FBC" w:rsidR="00E4678F" w:rsidRPr="00AD1DFB" w:rsidRDefault="00E4678F" w:rsidP="007A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6,0%</w:t>
            </w:r>
          </w:p>
        </w:tc>
      </w:tr>
      <w:tr w:rsidR="00E4678F" w14:paraId="59BF7C3B" w14:textId="77777777" w:rsidTr="007A2126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vAlign w:val="bottom"/>
          </w:tcPr>
          <w:p w14:paraId="555E67EA" w14:textId="73A0E99B" w:rsidR="00E4678F" w:rsidRPr="00E4678F" w:rsidRDefault="00E4678F" w:rsidP="007A212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4678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Asturias</w:t>
            </w:r>
          </w:p>
        </w:tc>
        <w:tc>
          <w:tcPr>
            <w:tcW w:w="2552" w:type="dxa"/>
            <w:vAlign w:val="bottom"/>
          </w:tcPr>
          <w:p w14:paraId="21C565E2" w14:textId="412AF9D4" w:rsidR="00E4678F" w:rsidRPr="00AD1DFB" w:rsidRDefault="00E4678F" w:rsidP="007A2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Asturias</w:t>
            </w:r>
          </w:p>
        </w:tc>
        <w:tc>
          <w:tcPr>
            <w:tcW w:w="2551" w:type="dxa"/>
            <w:vAlign w:val="bottom"/>
          </w:tcPr>
          <w:p w14:paraId="2CE25BD4" w14:textId="42B7A945" w:rsidR="00E4678F" w:rsidRPr="00AD1DFB" w:rsidRDefault="00E4678F" w:rsidP="007A2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Gijón</w:t>
            </w:r>
          </w:p>
        </w:tc>
        <w:tc>
          <w:tcPr>
            <w:tcW w:w="1560" w:type="dxa"/>
            <w:vAlign w:val="bottom"/>
          </w:tcPr>
          <w:p w14:paraId="02E9ADDC" w14:textId="5916FCDA" w:rsidR="00E4678F" w:rsidRPr="00AD1DFB" w:rsidRDefault="00E4678F" w:rsidP="007A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6,0%</w:t>
            </w:r>
          </w:p>
        </w:tc>
      </w:tr>
      <w:tr w:rsidR="00E4678F" w14:paraId="1D3220E2" w14:textId="77777777" w:rsidTr="007A2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vAlign w:val="bottom"/>
          </w:tcPr>
          <w:p w14:paraId="220DBCD4" w14:textId="73618636" w:rsidR="00E4678F" w:rsidRPr="00E4678F" w:rsidRDefault="00E4678F" w:rsidP="007A212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4678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Comunitat Valenciana</w:t>
            </w:r>
          </w:p>
        </w:tc>
        <w:tc>
          <w:tcPr>
            <w:tcW w:w="2552" w:type="dxa"/>
            <w:vAlign w:val="bottom"/>
          </w:tcPr>
          <w:p w14:paraId="0411CFE2" w14:textId="22D17148" w:rsidR="00E4678F" w:rsidRPr="00AD1DFB" w:rsidRDefault="00E4678F" w:rsidP="007A2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Alicante</w:t>
            </w:r>
          </w:p>
        </w:tc>
        <w:tc>
          <w:tcPr>
            <w:tcW w:w="2551" w:type="dxa"/>
            <w:vAlign w:val="bottom"/>
          </w:tcPr>
          <w:p w14:paraId="3A60D3CA" w14:textId="38D48F97" w:rsidR="00E4678F" w:rsidRPr="00AD1DFB" w:rsidRDefault="00E4678F" w:rsidP="007A2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Elche / Elx</w:t>
            </w:r>
          </w:p>
        </w:tc>
        <w:tc>
          <w:tcPr>
            <w:tcW w:w="1560" w:type="dxa"/>
            <w:vAlign w:val="bottom"/>
          </w:tcPr>
          <w:p w14:paraId="2FA9B930" w14:textId="2AD7DEAB" w:rsidR="00E4678F" w:rsidRPr="00AD1DFB" w:rsidRDefault="00E4678F" w:rsidP="007A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5,9%</w:t>
            </w:r>
          </w:p>
        </w:tc>
      </w:tr>
      <w:tr w:rsidR="00E4678F" w14:paraId="03F818F1" w14:textId="77777777" w:rsidTr="007A2126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vAlign w:val="bottom"/>
          </w:tcPr>
          <w:p w14:paraId="27244BA7" w14:textId="74BB8414" w:rsidR="00E4678F" w:rsidRPr="00E4678F" w:rsidRDefault="00E4678F" w:rsidP="007A212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4678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Andalucía</w:t>
            </w:r>
          </w:p>
        </w:tc>
        <w:tc>
          <w:tcPr>
            <w:tcW w:w="2552" w:type="dxa"/>
            <w:vAlign w:val="bottom"/>
          </w:tcPr>
          <w:p w14:paraId="36771F6F" w14:textId="645D09FE" w:rsidR="00E4678F" w:rsidRPr="00AD1DFB" w:rsidRDefault="00E4678F" w:rsidP="007A2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Málaga</w:t>
            </w:r>
          </w:p>
        </w:tc>
        <w:tc>
          <w:tcPr>
            <w:tcW w:w="2551" w:type="dxa"/>
            <w:vAlign w:val="bottom"/>
          </w:tcPr>
          <w:p w14:paraId="12FDB008" w14:textId="424D370E" w:rsidR="00E4678F" w:rsidRPr="00AD1DFB" w:rsidRDefault="00E4678F" w:rsidP="007A2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Mijas</w:t>
            </w:r>
          </w:p>
        </w:tc>
        <w:tc>
          <w:tcPr>
            <w:tcW w:w="1560" w:type="dxa"/>
            <w:vAlign w:val="bottom"/>
          </w:tcPr>
          <w:p w14:paraId="2956DA0E" w14:textId="50124E3B" w:rsidR="00E4678F" w:rsidRPr="00AD1DFB" w:rsidRDefault="00E4678F" w:rsidP="007A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5,8%</w:t>
            </w:r>
          </w:p>
        </w:tc>
      </w:tr>
      <w:tr w:rsidR="00E4678F" w14:paraId="4B605F62" w14:textId="77777777" w:rsidTr="007A2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vAlign w:val="bottom"/>
          </w:tcPr>
          <w:p w14:paraId="5FE17E76" w14:textId="427D3AFC" w:rsidR="00E4678F" w:rsidRPr="00E4678F" w:rsidRDefault="00E4678F" w:rsidP="007A212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4678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Comunitat Valenciana</w:t>
            </w:r>
          </w:p>
        </w:tc>
        <w:tc>
          <w:tcPr>
            <w:tcW w:w="2552" w:type="dxa"/>
            <w:vAlign w:val="bottom"/>
          </w:tcPr>
          <w:p w14:paraId="68BD5573" w14:textId="6B5EF840" w:rsidR="00E4678F" w:rsidRPr="00AD1DFB" w:rsidRDefault="00E4678F" w:rsidP="007A2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Alicante</w:t>
            </w:r>
          </w:p>
        </w:tc>
        <w:tc>
          <w:tcPr>
            <w:tcW w:w="2551" w:type="dxa"/>
            <w:vAlign w:val="bottom"/>
          </w:tcPr>
          <w:p w14:paraId="4283FBC9" w14:textId="3D07421A" w:rsidR="00E4678F" w:rsidRPr="00AD1DFB" w:rsidRDefault="00E4678F" w:rsidP="007A2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Alicante / Alacant</w:t>
            </w:r>
          </w:p>
        </w:tc>
        <w:tc>
          <w:tcPr>
            <w:tcW w:w="1560" w:type="dxa"/>
            <w:vAlign w:val="bottom"/>
          </w:tcPr>
          <w:p w14:paraId="5C5F3425" w14:textId="4089BF34" w:rsidR="00E4678F" w:rsidRPr="00AD1DFB" w:rsidRDefault="00E4678F" w:rsidP="007A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5,8%</w:t>
            </w:r>
          </w:p>
        </w:tc>
      </w:tr>
      <w:tr w:rsidR="00E4678F" w14:paraId="6017C60F" w14:textId="77777777" w:rsidTr="007A2126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vAlign w:val="bottom"/>
          </w:tcPr>
          <w:p w14:paraId="4B381AAD" w14:textId="6EF72E14" w:rsidR="00E4678F" w:rsidRPr="00E4678F" w:rsidRDefault="00E4678F" w:rsidP="007A212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4678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Andalucía</w:t>
            </w:r>
          </w:p>
        </w:tc>
        <w:tc>
          <w:tcPr>
            <w:tcW w:w="2552" w:type="dxa"/>
            <w:vAlign w:val="bottom"/>
          </w:tcPr>
          <w:p w14:paraId="42644427" w14:textId="3ED46E23" w:rsidR="00E4678F" w:rsidRPr="00AD1DFB" w:rsidRDefault="00E4678F" w:rsidP="007A2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Almería</w:t>
            </w:r>
          </w:p>
        </w:tc>
        <w:tc>
          <w:tcPr>
            <w:tcW w:w="2551" w:type="dxa"/>
            <w:vAlign w:val="bottom"/>
          </w:tcPr>
          <w:p w14:paraId="1B9755D3" w14:textId="5B95D725" w:rsidR="00E4678F" w:rsidRPr="00AD1DFB" w:rsidRDefault="00E4678F" w:rsidP="007A2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Roquetas de Mar</w:t>
            </w:r>
          </w:p>
        </w:tc>
        <w:tc>
          <w:tcPr>
            <w:tcW w:w="1560" w:type="dxa"/>
            <w:vAlign w:val="bottom"/>
          </w:tcPr>
          <w:p w14:paraId="17C44856" w14:textId="5F1F3A24" w:rsidR="00E4678F" w:rsidRPr="00AD1DFB" w:rsidRDefault="00E4678F" w:rsidP="007A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5,7%</w:t>
            </w:r>
          </w:p>
        </w:tc>
      </w:tr>
      <w:tr w:rsidR="00E4678F" w14:paraId="539C422E" w14:textId="77777777" w:rsidTr="007A2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vAlign w:val="bottom"/>
          </w:tcPr>
          <w:p w14:paraId="0B161DD8" w14:textId="204437E1" w:rsidR="00E4678F" w:rsidRPr="00E4678F" w:rsidRDefault="00E4678F" w:rsidP="007A212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4678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Baleares</w:t>
            </w:r>
          </w:p>
        </w:tc>
        <w:tc>
          <w:tcPr>
            <w:tcW w:w="2552" w:type="dxa"/>
            <w:vAlign w:val="bottom"/>
          </w:tcPr>
          <w:p w14:paraId="6A83ACA0" w14:textId="1AB61561" w:rsidR="00E4678F" w:rsidRPr="00AD1DFB" w:rsidRDefault="00E4678F" w:rsidP="007A2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Illes Balears</w:t>
            </w:r>
          </w:p>
        </w:tc>
        <w:tc>
          <w:tcPr>
            <w:tcW w:w="2551" w:type="dxa"/>
            <w:vAlign w:val="bottom"/>
          </w:tcPr>
          <w:p w14:paraId="58826910" w14:textId="1118FF65" w:rsidR="00E4678F" w:rsidRPr="00AD1DFB" w:rsidRDefault="00E4678F" w:rsidP="007A2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Llucmajor</w:t>
            </w:r>
          </w:p>
        </w:tc>
        <w:tc>
          <w:tcPr>
            <w:tcW w:w="1560" w:type="dxa"/>
            <w:vAlign w:val="bottom"/>
          </w:tcPr>
          <w:p w14:paraId="1E057D15" w14:textId="2C74755A" w:rsidR="00E4678F" w:rsidRPr="00AD1DFB" w:rsidRDefault="00E4678F" w:rsidP="007A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5,7%</w:t>
            </w:r>
          </w:p>
        </w:tc>
      </w:tr>
      <w:tr w:rsidR="00E4678F" w14:paraId="17513EE9" w14:textId="77777777" w:rsidTr="007A2126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vAlign w:val="bottom"/>
          </w:tcPr>
          <w:p w14:paraId="2CA3B75A" w14:textId="3AF65457" w:rsidR="00E4678F" w:rsidRPr="00E4678F" w:rsidRDefault="00E4678F" w:rsidP="007A212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4678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Cataluña</w:t>
            </w:r>
          </w:p>
        </w:tc>
        <w:tc>
          <w:tcPr>
            <w:tcW w:w="2552" w:type="dxa"/>
            <w:vAlign w:val="bottom"/>
          </w:tcPr>
          <w:p w14:paraId="1FBDCCF7" w14:textId="1F5B49D0" w:rsidR="00E4678F" w:rsidRPr="00AD1DFB" w:rsidRDefault="00E4678F" w:rsidP="007A2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Barcelona</w:t>
            </w:r>
          </w:p>
        </w:tc>
        <w:tc>
          <w:tcPr>
            <w:tcW w:w="2551" w:type="dxa"/>
            <w:vAlign w:val="bottom"/>
          </w:tcPr>
          <w:p w14:paraId="4F6CEE54" w14:textId="78505DCD" w:rsidR="00E4678F" w:rsidRPr="00AD1DFB" w:rsidRDefault="00E4678F" w:rsidP="007A2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Mataró</w:t>
            </w:r>
          </w:p>
        </w:tc>
        <w:tc>
          <w:tcPr>
            <w:tcW w:w="1560" w:type="dxa"/>
            <w:vAlign w:val="bottom"/>
          </w:tcPr>
          <w:p w14:paraId="20FFFB1D" w14:textId="057BE028" w:rsidR="00E4678F" w:rsidRPr="00AD1DFB" w:rsidRDefault="00E4678F" w:rsidP="007A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5,7%</w:t>
            </w:r>
          </w:p>
        </w:tc>
      </w:tr>
      <w:tr w:rsidR="00E4678F" w14:paraId="2EB561EB" w14:textId="77777777" w:rsidTr="007A2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vAlign w:val="bottom"/>
          </w:tcPr>
          <w:p w14:paraId="22E72D0A" w14:textId="24B62BA2" w:rsidR="00E4678F" w:rsidRPr="00E4678F" w:rsidRDefault="00E4678F" w:rsidP="007A212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4678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Canarias</w:t>
            </w:r>
          </w:p>
        </w:tc>
        <w:tc>
          <w:tcPr>
            <w:tcW w:w="2552" w:type="dxa"/>
            <w:vAlign w:val="bottom"/>
          </w:tcPr>
          <w:p w14:paraId="19B79B8C" w14:textId="5D3C7CBA" w:rsidR="00E4678F" w:rsidRPr="00AD1DFB" w:rsidRDefault="00E4678F" w:rsidP="007A2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Santa Cruz de Tenerife</w:t>
            </w:r>
          </w:p>
        </w:tc>
        <w:tc>
          <w:tcPr>
            <w:tcW w:w="2551" w:type="dxa"/>
            <w:vAlign w:val="bottom"/>
          </w:tcPr>
          <w:p w14:paraId="33D70534" w14:textId="648F5D01" w:rsidR="00E4678F" w:rsidRPr="00AD1DFB" w:rsidRDefault="00E4678F" w:rsidP="007A2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Arona</w:t>
            </w:r>
          </w:p>
        </w:tc>
        <w:tc>
          <w:tcPr>
            <w:tcW w:w="1560" w:type="dxa"/>
            <w:vAlign w:val="bottom"/>
          </w:tcPr>
          <w:p w14:paraId="5AEF7055" w14:textId="1B9B94BE" w:rsidR="00E4678F" w:rsidRPr="00AD1DFB" w:rsidRDefault="00E4678F" w:rsidP="007A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5,6%</w:t>
            </w:r>
          </w:p>
        </w:tc>
      </w:tr>
      <w:tr w:rsidR="00E4678F" w14:paraId="2D2E6C8A" w14:textId="77777777" w:rsidTr="007A2126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vAlign w:val="bottom"/>
          </w:tcPr>
          <w:p w14:paraId="7F7A4391" w14:textId="0ECF817E" w:rsidR="00E4678F" w:rsidRPr="00E4678F" w:rsidRDefault="00E4678F" w:rsidP="007A212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4678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Comunitat Valenciana</w:t>
            </w:r>
          </w:p>
        </w:tc>
        <w:tc>
          <w:tcPr>
            <w:tcW w:w="2552" w:type="dxa"/>
            <w:vAlign w:val="bottom"/>
          </w:tcPr>
          <w:p w14:paraId="107F11A8" w14:textId="39DC3BA5" w:rsidR="00E4678F" w:rsidRPr="00AD1DFB" w:rsidRDefault="00E4678F" w:rsidP="007A2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Alicante</w:t>
            </w:r>
          </w:p>
        </w:tc>
        <w:tc>
          <w:tcPr>
            <w:tcW w:w="2551" w:type="dxa"/>
            <w:vAlign w:val="bottom"/>
          </w:tcPr>
          <w:p w14:paraId="75D516CC" w14:textId="141CDB5A" w:rsidR="00E4678F" w:rsidRPr="00AD1DFB" w:rsidRDefault="00E4678F" w:rsidP="007A2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El Campello</w:t>
            </w:r>
          </w:p>
        </w:tc>
        <w:tc>
          <w:tcPr>
            <w:tcW w:w="1560" w:type="dxa"/>
            <w:vAlign w:val="bottom"/>
          </w:tcPr>
          <w:p w14:paraId="0AD875DE" w14:textId="0ED98434" w:rsidR="00E4678F" w:rsidRPr="00AD1DFB" w:rsidRDefault="00E4678F" w:rsidP="007A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5,6%</w:t>
            </w:r>
          </w:p>
        </w:tc>
      </w:tr>
    </w:tbl>
    <w:p w14:paraId="63074813" w14:textId="77777777" w:rsidR="007A2126" w:rsidRDefault="007A2126" w:rsidP="0089339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D8140F0" w14:textId="599277B5" w:rsidR="0089339F" w:rsidRPr="007A2126" w:rsidRDefault="0089339F" w:rsidP="0089339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7A2126">
        <w:rPr>
          <w:rFonts w:ascii="Open Sans" w:hAnsi="Open Sans" w:cs="Open Sans"/>
          <w:color w:val="000000"/>
          <w:sz w:val="22"/>
          <w:szCs w:val="22"/>
        </w:rPr>
        <w:t xml:space="preserve">De las cinco ciudades más rentables de 2020, tres de ellas tienen un historial de rentabilidad ininterrumpido en los últimos diez años. Hay que destacar que </w:t>
      </w:r>
      <w:r w:rsidRPr="007A2126">
        <w:rPr>
          <w:rFonts w:ascii="Open Sans" w:hAnsi="Open Sans" w:cs="Open Sans"/>
          <w:b/>
          <w:bCs/>
          <w:color w:val="000000"/>
          <w:sz w:val="22"/>
          <w:szCs w:val="22"/>
        </w:rPr>
        <w:t>Algeciras tiene unos antecedentes sólidos de rentabilidad</w:t>
      </w:r>
      <w:r w:rsidRPr="007A2126">
        <w:rPr>
          <w:rFonts w:ascii="Open Sans" w:hAnsi="Open Sans" w:cs="Open Sans"/>
          <w:color w:val="000000"/>
          <w:sz w:val="22"/>
          <w:szCs w:val="22"/>
        </w:rPr>
        <w:t>, que lo ha llevado a un incremento continuado, del 4,5% de junio de 2010 al 7,5% de junio de 2020. En concreto, los últimos seis años han sido claves para el municipio gaditano puesto que de 2015 a 2017 fue la segunda ciudad más rentable, para luego ocupar el primer lugar de 2018 hasta la actualidad.</w:t>
      </w:r>
    </w:p>
    <w:p w14:paraId="3CE6EF94" w14:textId="3DC84027" w:rsidR="007434EE" w:rsidRDefault="007434EE" w:rsidP="007434EE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Por otro lado, el segundo municipio costero más rentable, Cartagena (6,8%), muestra datos muy positivos en la evolución de la rentabilidad desde 2010 (4,7%) hasta 2020 (6,8%). Sin embargo, la conocida ciudad de Torrevieja que hasta hace cuatro años (2017) era la c</w:t>
      </w:r>
      <w:r w:rsidR="005F6323">
        <w:rPr>
          <w:rFonts w:ascii="Open Sans" w:hAnsi="Open Sans" w:cs="Open Sans"/>
          <w:color w:val="000000"/>
          <w:sz w:val="22"/>
          <w:szCs w:val="22"/>
        </w:rPr>
        <w:t>iu</w:t>
      </w:r>
      <w:r>
        <w:rPr>
          <w:rFonts w:ascii="Open Sans" w:hAnsi="Open Sans" w:cs="Open Sans"/>
          <w:color w:val="000000"/>
          <w:sz w:val="22"/>
          <w:szCs w:val="22"/>
        </w:rPr>
        <w:t>dad más rentable (6,8%), ahora en 2020 ocupa el cuarto lugar con un 6,3% de rentabilidad.</w:t>
      </w:r>
    </w:p>
    <w:p w14:paraId="300C9F9B" w14:textId="2D748DB2" w:rsidR="007434EE" w:rsidRDefault="007434EE" w:rsidP="00C154DC">
      <w:pPr>
        <w:pStyle w:val="NormalWeb"/>
        <w:shd w:val="clear" w:color="auto" w:fill="FFFFFF"/>
        <w:spacing w:after="225" w:line="276" w:lineRule="auto"/>
        <w:ind w:right="-574"/>
        <w:jc w:val="center"/>
        <w:rPr>
          <w:rFonts w:ascii="Open Sans" w:hAnsi="Open Sans" w:cs="Open Sans"/>
          <w:color w:val="00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6B6CA547" wp14:editId="3BE68EFB">
            <wp:extent cx="5396230" cy="2385175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36A5681B-68DD-423D-B9B3-1918DCAD495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C7B9E5D" w14:textId="4512FEB1" w:rsidR="00BA3A3D" w:rsidRDefault="00BA3A3D" w:rsidP="007434EE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7434EE">
        <w:rPr>
          <w:rFonts w:ascii="Open Sans" w:hAnsi="Open Sans" w:cs="Open Sans"/>
          <w:b/>
          <w:bCs/>
          <w:color w:val="000000"/>
          <w:sz w:val="22"/>
          <w:szCs w:val="22"/>
        </w:rPr>
        <w:t>En cuanto a los distritos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7434EE">
        <w:rPr>
          <w:rFonts w:ascii="Open Sans" w:hAnsi="Open Sans" w:cs="Open Sans"/>
          <w:b/>
          <w:bCs/>
          <w:color w:val="000000"/>
          <w:sz w:val="22"/>
          <w:szCs w:val="22"/>
        </w:rPr>
        <w:t>más rentables de Algeciras</w:t>
      </w:r>
      <w:r>
        <w:rPr>
          <w:rFonts w:ascii="Open Sans" w:hAnsi="Open Sans" w:cs="Open Sans"/>
          <w:color w:val="000000"/>
          <w:sz w:val="22"/>
          <w:szCs w:val="22"/>
        </w:rPr>
        <w:t xml:space="preserve"> para invertir en la compra de una vivienda para luego alquilarla, destacan Casco Antiguo con un 7,4% de rentabilidad. Cabe destacar que este distrito es por cinco años consecutivos el más rentable de España (desde 2016 hasta 2020). Muy de cerca le sigue el distrito </w:t>
      </w:r>
      <w:r w:rsidRPr="00BA3A3D">
        <w:rPr>
          <w:rFonts w:ascii="Open Sans" w:hAnsi="Open Sans" w:cs="Open Sans"/>
          <w:color w:val="000000"/>
          <w:sz w:val="22"/>
          <w:szCs w:val="22"/>
        </w:rPr>
        <w:t xml:space="preserve">La Reconquista - El Rosario </w:t>
      </w:r>
      <w:r>
        <w:rPr>
          <w:rFonts w:ascii="Open Sans" w:hAnsi="Open Sans" w:cs="Open Sans"/>
          <w:color w:val="000000"/>
          <w:sz w:val="22"/>
          <w:szCs w:val="22"/>
        </w:rPr>
        <w:t xml:space="preserve">con una rentabilidad en junio </w:t>
      </w:r>
      <w:r w:rsidR="005863EA">
        <w:rPr>
          <w:rFonts w:ascii="Open Sans" w:hAnsi="Open Sans" w:cs="Open Sans"/>
          <w:color w:val="000000"/>
          <w:sz w:val="22"/>
          <w:szCs w:val="22"/>
        </w:rPr>
        <w:t xml:space="preserve">de 2020 </w:t>
      </w:r>
      <w:r>
        <w:rPr>
          <w:rFonts w:ascii="Open Sans" w:hAnsi="Open Sans" w:cs="Open Sans"/>
          <w:color w:val="000000"/>
          <w:sz w:val="22"/>
          <w:szCs w:val="22"/>
        </w:rPr>
        <w:t>del 7,4%.</w:t>
      </w:r>
    </w:p>
    <w:p w14:paraId="74EA2559" w14:textId="0373A663" w:rsidR="00B722D7" w:rsidRPr="007434EE" w:rsidRDefault="007434EE" w:rsidP="00DF3B05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 w:rsidRPr="007434EE">
        <w:rPr>
          <w:rFonts w:ascii="Open Sans Light" w:hAnsi="Open Sans Light" w:cs="Open Sans Light"/>
          <w:b/>
          <w:iCs/>
          <w:color w:val="303AB2"/>
          <w:sz w:val="28"/>
          <w:szCs w:val="22"/>
        </w:rPr>
        <w:t>Los municipios menos rentables</w:t>
      </w:r>
    </w:p>
    <w:p w14:paraId="01037CA8" w14:textId="2915232F" w:rsidR="002D06D5" w:rsidRDefault="002D06D5" w:rsidP="002D06D5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En el otro extremo, </w:t>
      </w:r>
      <w:r w:rsidR="007434EE">
        <w:rPr>
          <w:rFonts w:ascii="Open Sans" w:hAnsi="Open Sans" w:cs="Open Sans"/>
          <w:color w:val="000000"/>
          <w:sz w:val="22"/>
          <w:szCs w:val="22"/>
        </w:rPr>
        <w:t>ciudades</w:t>
      </w:r>
      <w:r w:rsidR="00010A8D">
        <w:rPr>
          <w:rFonts w:ascii="Open Sans" w:hAnsi="Open Sans" w:cs="Open Sans"/>
          <w:color w:val="000000"/>
          <w:sz w:val="22"/>
          <w:szCs w:val="22"/>
        </w:rPr>
        <w:t xml:space="preserve"> con rentabilidad inferior al 5%,</w:t>
      </w:r>
      <w:r>
        <w:rPr>
          <w:rFonts w:ascii="Open Sans" w:hAnsi="Open Sans" w:cs="Open Sans"/>
          <w:color w:val="000000"/>
          <w:sz w:val="22"/>
          <w:szCs w:val="22"/>
        </w:rPr>
        <w:t xml:space="preserve"> como </w:t>
      </w:r>
      <w:r w:rsidR="007434EE" w:rsidRPr="007434EE">
        <w:rPr>
          <w:rFonts w:ascii="Open Sans" w:hAnsi="Open Sans" w:cs="Open Sans"/>
          <w:color w:val="000000"/>
          <w:sz w:val="22"/>
          <w:szCs w:val="22"/>
        </w:rPr>
        <w:t xml:space="preserve">Donostia - San Sebastián </w:t>
      </w:r>
      <w:r>
        <w:rPr>
          <w:rFonts w:ascii="Open Sans" w:hAnsi="Open Sans" w:cs="Open Sans"/>
          <w:color w:val="000000"/>
          <w:sz w:val="22"/>
          <w:szCs w:val="22"/>
        </w:rPr>
        <w:t>(</w:t>
      </w:r>
      <w:r w:rsidR="007434EE">
        <w:rPr>
          <w:rFonts w:ascii="Open Sans" w:hAnsi="Open Sans" w:cs="Open Sans"/>
          <w:color w:val="000000"/>
          <w:sz w:val="22"/>
          <w:szCs w:val="22"/>
        </w:rPr>
        <w:t>3,6</w:t>
      </w:r>
      <w:r>
        <w:rPr>
          <w:rFonts w:ascii="Open Sans" w:hAnsi="Open Sans" w:cs="Open Sans"/>
          <w:color w:val="000000"/>
          <w:sz w:val="22"/>
          <w:szCs w:val="22"/>
        </w:rPr>
        <w:t xml:space="preserve">%), </w:t>
      </w:r>
      <w:r w:rsidR="00010A8D">
        <w:rPr>
          <w:rFonts w:ascii="Open Sans" w:hAnsi="Open Sans" w:cs="Open Sans"/>
          <w:color w:val="000000"/>
          <w:sz w:val="22"/>
          <w:szCs w:val="22"/>
        </w:rPr>
        <w:t>Sitges</w:t>
      </w:r>
      <w:r>
        <w:rPr>
          <w:rFonts w:ascii="Open Sans" w:hAnsi="Open Sans" w:cs="Open Sans"/>
          <w:color w:val="000000"/>
          <w:sz w:val="22"/>
          <w:szCs w:val="22"/>
        </w:rPr>
        <w:t xml:space="preserve"> (</w:t>
      </w:r>
      <w:r w:rsidR="00010A8D">
        <w:rPr>
          <w:rFonts w:ascii="Open Sans" w:hAnsi="Open Sans" w:cs="Open Sans"/>
          <w:color w:val="000000"/>
          <w:sz w:val="22"/>
          <w:szCs w:val="22"/>
        </w:rPr>
        <w:t>4,3</w:t>
      </w:r>
      <w:r>
        <w:rPr>
          <w:rFonts w:ascii="Open Sans" w:hAnsi="Open Sans" w:cs="Open Sans"/>
          <w:color w:val="000000"/>
          <w:sz w:val="22"/>
          <w:szCs w:val="22"/>
        </w:rPr>
        <w:t xml:space="preserve">%), </w:t>
      </w:r>
      <w:r w:rsidR="00010A8D">
        <w:rPr>
          <w:rFonts w:ascii="Open Sans" w:hAnsi="Open Sans" w:cs="Open Sans"/>
          <w:color w:val="000000"/>
          <w:sz w:val="22"/>
          <w:szCs w:val="22"/>
        </w:rPr>
        <w:t>Barcelona capital</w:t>
      </w:r>
      <w:r>
        <w:rPr>
          <w:rFonts w:ascii="Open Sans" w:hAnsi="Open Sans" w:cs="Open Sans"/>
          <w:color w:val="000000"/>
          <w:sz w:val="22"/>
          <w:szCs w:val="22"/>
        </w:rPr>
        <w:t xml:space="preserve"> (</w:t>
      </w:r>
      <w:r w:rsidR="00010A8D">
        <w:rPr>
          <w:rFonts w:ascii="Open Sans" w:hAnsi="Open Sans" w:cs="Open Sans"/>
          <w:color w:val="000000"/>
          <w:sz w:val="22"/>
          <w:szCs w:val="22"/>
        </w:rPr>
        <w:t>4,6</w:t>
      </w:r>
      <w:r>
        <w:rPr>
          <w:rFonts w:ascii="Open Sans" w:hAnsi="Open Sans" w:cs="Open Sans"/>
          <w:color w:val="000000"/>
          <w:sz w:val="22"/>
          <w:szCs w:val="22"/>
        </w:rPr>
        <w:t xml:space="preserve">%), </w:t>
      </w:r>
      <w:r w:rsidR="00010A8D" w:rsidRPr="00010A8D">
        <w:rPr>
          <w:rFonts w:ascii="Open Sans" w:hAnsi="Open Sans" w:cs="Open Sans"/>
          <w:color w:val="000000"/>
          <w:sz w:val="22"/>
          <w:szCs w:val="22"/>
        </w:rPr>
        <w:t xml:space="preserve">Fuengirola </w:t>
      </w:r>
      <w:r>
        <w:rPr>
          <w:rFonts w:ascii="Open Sans" w:hAnsi="Open Sans" w:cs="Open Sans"/>
          <w:color w:val="000000"/>
          <w:sz w:val="22"/>
          <w:szCs w:val="22"/>
        </w:rPr>
        <w:t>(</w:t>
      </w:r>
      <w:r w:rsidR="00010A8D">
        <w:rPr>
          <w:rFonts w:ascii="Open Sans" w:hAnsi="Open Sans" w:cs="Open Sans"/>
          <w:color w:val="000000"/>
          <w:sz w:val="22"/>
          <w:szCs w:val="22"/>
        </w:rPr>
        <w:t>4,6</w:t>
      </w:r>
      <w:r>
        <w:rPr>
          <w:rFonts w:ascii="Open Sans" w:hAnsi="Open Sans" w:cs="Open Sans"/>
          <w:color w:val="000000"/>
          <w:sz w:val="22"/>
          <w:szCs w:val="22"/>
        </w:rPr>
        <w:t>%)</w:t>
      </w:r>
      <w:r w:rsidR="00010A8D">
        <w:rPr>
          <w:rFonts w:ascii="Open Sans" w:hAnsi="Open Sans" w:cs="Open Sans"/>
          <w:color w:val="000000"/>
          <w:sz w:val="22"/>
          <w:szCs w:val="22"/>
        </w:rPr>
        <w:t>,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010A8D" w:rsidRPr="00010A8D">
        <w:rPr>
          <w:rFonts w:ascii="Open Sans" w:hAnsi="Open Sans" w:cs="Open Sans"/>
          <w:color w:val="000000"/>
          <w:sz w:val="22"/>
          <w:szCs w:val="22"/>
        </w:rPr>
        <w:t xml:space="preserve">Estepona </w:t>
      </w:r>
      <w:r>
        <w:rPr>
          <w:rFonts w:ascii="Open Sans" w:hAnsi="Open Sans" w:cs="Open Sans"/>
          <w:color w:val="000000"/>
          <w:sz w:val="22"/>
          <w:szCs w:val="22"/>
        </w:rPr>
        <w:t>(</w:t>
      </w:r>
      <w:r w:rsidR="00010A8D">
        <w:rPr>
          <w:rFonts w:ascii="Open Sans" w:hAnsi="Open Sans" w:cs="Open Sans"/>
          <w:color w:val="000000"/>
          <w:sz w:val="22"/>
          <w:szCs w:val="22"/>
        </w:rPr>
        <w:t>4,8</w:t>
      </w:r>
      <w:r>
        <w:rPr>
          <w:rFonts w:ascii="Open Sans" w:hAnsi="Open Sans" w:cs="Open Sans"/>
          <w:color w:val="000000"/>
          <w:sz w:val="22"/>
          <w:szCs w:val="22"/>
        </w:rPr>
        <w:t>%)</w:t>
      </w:r>
      <w:r w:rsidR="00010A8D">
        <w:rPr>
          <w:rFonts w:ascii="Open Sans" w:hAnsi="Open Sans" w:cs="Open Sans"/>
          <w:color w:val="000000"/>
          <w:sz w:val="22"/>
          <w:szCs w:val="22"/>
        </w:rPr>
        <w:t>, Marbella (4,8%), Cádiz capital (4,9%) o Palma de Mallorca (4,9%)</w:t>
      </w:r>
      <w:r>
        <w:rPr>
          <w:rFonts w:ascii="Open Sans" w:hAnsi="Open Sans" w:cs="Open Sans"/>
          <w:color w:val="000000"/>
          <w:sz w:val="22"/>
          <w:szCs w:val="22"/>
        </w:rPr>
        <w:t xml:space="preserve"> son l</w:t>
      </w:r>
      <w:r w:rsidR="0089339F">
        <w:rPr>
          <w:rFonts w:ascii="Open Sans" w:hAnsi="Open Sans" w:cs="Open Sans"/>
          <w:color w:val="000000"/>
          <w:sz w:val="22"/>
          <w:szCs w:val="22"/>
        </w:rPr>
        <w:t>a</w:t>
      </w:r>
      <w:r>
        <w:rPr>
          <w:rFonts w:ascii="Open Sans" w:hAnsi="Open Sans" w:cs="Open Sans"/>
          <w:color w:val="000000"/>
          <w:sz w:val="22"/>
          <w:szCs w:val="22"/>
        </w:rPr>
        <w:t xml:space="preserve">s que menos rentabilidad ofrecen, muy por debajo de </w:t>
      </w:r>
      <w:r w:rsidR="00010A8D">
        <w:rPr>
          <w:rFonts w:ascii="Open Sans" w:hAnsi="Open Sans" w:cs="Open Sans"/>
          <w:color w:val="000000"/>
          <w:sz w:val="22"/>
          <w:szCs w:val="22"/>
        </w:rPr>
        <w:t>la</w:t>
      </w:r>
      <w:r>
        <w:rPr>
          <w:rFonts w:ascii="Open Sans" w:hAnsi="Open Sans" w:cs="Open Sans"/>
          <w:color w:val="000000"/>
          <w:sz w:val="22"/>
          <w:szCs w:val="22"/>
        </w:rPr>
        <w:t xml:space="preserve"> media de España, que es del </w:t>
      </w:r>
      <w:r w:rsidR="00010A8D">
        <w:rPr>
          <w:rFonts w:ascii="Open Sans" w:hAnsi="Open Sans" w:cs="Open Sans"/>
          <w:color w:val="000000"/>
          <w:sz w:val="22"/>
          <w:szCs w:val="22"/>
        </w:rPr>
        <w:t>6,9</w:t>
      </w:r>
      <w:r>
        <w:rPr>
          <w:rFonts w:ascii="Open Sans" w:hAnsi="Open Sans" w:cs="Open Sans"/>
          <w:color w:val="000000"/>
          <w:sz w:val="22"/>
          <w:szCs w:val="22"/>
        </w:rPr>
        <w:t xml:space="preserve">%. </w:t>
      </w:r>
    </w:p>
    <w:p w14:paraId="2020642B" w14:textId="4C243284" w:rsidR="00AD1DFB" w:rsidRPr="0045662A" w:rsidRDefault="00AD1DFB" w:rsidP="00AD1DFB">
      <w:pPr>
        <w:pStyle w:val="NormalWeb"/>
        <w:shd w:val="clear" w:color="auto" w:fill="FFFFFF"/>
        <w:spacing w:after="225" w:line="276" w:lineRule="auto"/>
        <w:ind w:right="-574"/>
        <w:jc w:val="center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 w:rsidRPr="0045662A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Municipios de </w:t>
      </w:r>
      <w:r w:rsidR="00E4678F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la </w:t>
      </w:r>
      <w:r w:rsidRPr="0045662A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costa con </w:t>
      </w: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>menor</w:t>
      </w:r>
      <w:r w:rsidRPr="0045662A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rentabilidad</w:t>
      </w:r>
    </w:p>
    <w:tbl>
      <w:tblPr>
        <w:tblStyle w:val="Tabladecuadrcula5oscura-nfasis11"/>
        <w:tblpPr w:leftFromText="141" w:rightFromText="141" w:vertAnchor="text" w:horzAnchor="margin" w:tblpX="108" w:tblpY="137"/>
        <w:tblW w:w="9039" w:type="dxa"/>
        <w:tblLook w:val="04A0" w:firstRow="1" w:lastRow="0" w:firstColumn="1" w:lastColumn="0" w:noHBand="0" w:noVBand="1"/>
      </w:tblPr>
      <w:tblGrid>
        <w:gridCol w:w="2405"/>
        <w:gridCol w:w="2126"/>
        <w:gridCol w:w="2948"/>
        <w:gridCol w:w="1560"/>
      </w:tblGrid>
      <w:tr w:rsidR="006130B6" w:rsidRPr="006D4516" w14:paraId="68F47F30" w14:textId="77777777" w:rsidTr="004859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299EE459" w14:textId="77777777" w:rsidR="006130B6" w:rsidRPr="00E4678F" w:rsidRDefault="006130B6" w:rsidP="00111408">
            <w:pPr>
              <w:rPr>
                <w:rFonts w:ascii="Open Sans Light" w:hAnsi="Open Sans Light" w:cs="Open Sans Light"/>
                <w:sz w:val="22"/>
                <w:szCs w:val="22"/>
                <w:lang w:val="es-ES"/>
              </w:rPr>
            </w:pPr>
            <w:r w:rsidRPr="00E4678F">
              <w:rPr>
                <w:rFonts w:ascii="Open Sans Light" w:hAnsi="Open Sans Light" w:cs="Open Sans Light"/>
                <w:sz w:val="22"/>
                <w:szCs w:val="22"/>
                <w:lang w:val="es-ES"/>
              </w:rPr>
              <w:t>CC.AA.</w:t>
            </w:r>
          </w:p>
        </w:tc>
        <w:tc>
          <w:tcPr>
            <w:tcW w:w="2126" w:type="dxa"/>
            <w:vAlign w:val="center"/>
          </w:tcPr>
          <w:p w14:paraId="4FAB03A5" w14:textId="77777777" w:rsidR="006130B6" w:rsidRPr="006D4516" w:rsidRDefault="006130B6" w:rsidP="001114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iCs/>
                <w:sz w:val="22"/>
                <w:szCs w:val="22"/>
                <w:lang w:val="es-ES"/>
              </w:rPr>
            </w:pPr>
            <w:r>
              <w:rPr>
                <w:rFonts w:ascii="Open Sans Light" w:hAnsi="Open Sans Light" w:cs="Open Sans Light"/>
                <w:iCs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2948" w:type="dxa"/>
            <w:vAlign w:val="center"/>
          </w:tcPr>
          <w:p w14:paraId="6EB7BE8F" w14:textId="77777777" w:rsidR="006130B6" w:rsidRPr="006D4516" w:rsidRDefault="006130B6" w:rsidP="001114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22"/>
                <w:szCs w:val="22"/>
                <w:lang w:val="es-ES"/>
              </w:rPr>
            </w:pPr>
            <w:r>
              <w:rPr>
                <w:rFonts w:ascii="Open Sans Light" w:hAnsi="Open Sans Light" w:cs="Open Sans Light"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1560" w:type="dxa"/>
            <w:vAlign w:val="center"/>
          </w:tcPr>
          <w:p w14:paraId="1A166A30" w14:textId="77777777" w:rsidR="006130B6" w:rsidRPr="006D4516" w:rsidRDefault="006130B6" w:rsidP="001114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22"/>
                <w:szCs w:val="22"/>
                <w:lang w:val="es-ES"/>
              </w:rPr>
            </w:pPr>
            <w:r>
              <w:rPr>
                <w:rFonts w:ascii="Open Sans Light" w:hAnsi="Open Sans Light" w:cs="Open Sans Light"/>
                <w:sz w:val="22"/>
                <w:szCs w:val="22"/>
                <w:lang w:val="es-ES"/>
              </w:rPr>
              <w:t>Rentabilidad media</w:t>
            </w:r>
          </w:p>
        </w:tc>
      </w:tr>
      <w:tr w:rsidR="00E4678F" w14:paraId="01ABC154" w14:textId="77777777" w:rsidTr="00485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06C046C8" w14:textId="029A9F68" w:rsidR="00E4678F" w:rsidRPr="00E4678F" w:rsidRDefault="00E4678F" w:rsidP="00E4678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4678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País Vasco</w:t>
            </w:r>
          </w:p>
        </w:tc>
        <w:tc>
          <w:tcPr>
            <w:tcW w:w="2126" w:type="dxa"/>
            <w:vAlign w:val="bottom"/>
          </w:tcPr>
          <w:p w14:paraId="1968212E" w14:textId="7D6CD595" w:rsidR="00E4678F" w:rsidRPr="00AD1DFB" w:rsidRDefault="00E4678F" w:rsidP="00E46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Gipuzkoa</w:t>
            </w:r>
          </w:p>
        </w:tc>
        <w:tc>
          <w:tcPr>
            <w:tcW w:w="2948" w:type="dxa"/>
            <w:vAlign w:val="bottom"/>
          </w:tcPr>
          <w:p w14:paraId="4ACD8FDE" w14:textId="75B343B7" w:rsidR="00E4678F" w:rsidRPr="00AD1DFB" w:rsidRDefault="00E4678F" w:rsidP="00E46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Donostia - San Sebastián</w:t>
            </w:r>
          </w:p>
        </w:tc>
        <w:tc>
          <w:tcPr>
            <w:tcW w:w="1560" w:type="dxa"/>
            <w:vAlign w:val="bottom"/>
          </w:tcPr>
          <w:p w14:paraId="4B150D4B" w14:textId="01C65489" w:rsidR="00E4678F" w:rsidRPr="00D662C3" w:rsidRDefault="00E4678F" w:rsidP="00E4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3,6%</w:t>
            </w:r>
          </w:p>
        </w:tc>
      </w:tr>
      <w:tr w:rsidR="00E4678F" w14:paraId="22EF413D" w14:textId="77777777" w:rsidTr="004859E7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35246724" w14:textId="34B968EA" w:rsidR="00E4678F" w:rsidRPr="00E4678F" w:rsidRDefault="00E4678F" w:rsidP="00E4678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4678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Cataluña</w:t>
            </w:r>
          </w:p>
        </w:tc>
        <w:tc>
          <w:tcPr>
            <w:tcW w:w="2126" w:type="dxa"/>
            <w:vAlign w:val="bottom"/>
          </w:tcPr>
          <w:p w14:paraId="5095AFB0" w14:textId="784CF942" w:rsidR="00E4678F" w:rsidRPr="00AD1DFB" w:rsidRDefault="00E4678F" w:rsidP="00E46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Barcelona</w:t>
            </w:r>
          </w:p>
        </w:tc>
        <w:tc>
          <w:tcPr>
            <w:tcW w:w="2948" w:type="dxa"/>
            <w:vAlign w:val="bottom"/>
          </w:tcPr>
          <w:p w14:paraId="1981DB17" w14:textId="6758CD44" w:rsidR="00E4678F" w:rsidRPr="00AD1DFB" w:rsidRDefault="00E4678F" w:rsidP="00E46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Sitges</w:t>
            </w:r>
          </w:p>
        </w:tc>
        <w:tc>
          <w:tcPr>
            <w:tcW w:w="1560" w:type="dxa"/>
            <w:vAlign w:val="bottom"/>
          </w:tcPr>
          <w:p w14:paraId="25BEC744" w14:textId="61E8C296" w:rsidR="00E4678F" w:rsidRPr="00D662C3" w:rsidRDefault="00E4678F" w:rsidP="00E4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4,3%</w:t>
            </w:r>
          </w:p>
        </w:tc>
      </w:tr>
      <w:tr w:rsidR="00E4678F" w14:paraId="42F9670B" w14:textId="77777777" w:rsidTr="00485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4FA68A37" w14:textId="08EDF08E" w:rsidR="00E4678F" w:rsidRPr="00E4678F" w:rsidRDefault="00E4678F" w:rsidP="00E4678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4678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Cataluña</w:t>
            </w:r>
          </w:p>
        </w:tc>
        <w:tc>
          <w:tcPr>
            <w:tcW w:w="2126" w:type="dxa"/>
            <w:vAlign w:val="bottom"/>
          </w:tcPr>
          <w:p w14:paraId="43113DA4" w14:textId="3E407B45" w:rsidR="00E4678F" w:rsidRPr="00AD1DFB" w:rsidRDefault="00E4678F" w:rsidP="00E46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Barcelona</w:t>
            </w:r>
          </w:p>
        </w:tc>
        <w:tc>
          <w:tcPr>
            <w:tcW w:w="2948" w:type="dxa"/>
            <w:vAlign w:val="bottom"/>
          </w:tcPr>
          <w:p w14:paraId="0776985E" w14:textId="23F4FB6A" w:rsidR="00E4678F" w:rsidRPr="00AD1DFB" w:rsidRDefault="00E4678F" w:rsidP="00E46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Barcelona Capital</w:t>
            </w:r>
          </w:p>
        </w:tc>
        <w:tc>
          <w:tcPr>
            <w:tcW w:w="1560" w:type="dxa"/>
            <w:vAlign w:val="bottom"/>
          </w:tcPr>
          <w:p w14:paraId="6BC0152E" w14:textId="2B0DDCCB" w:rsidR="00E4678F" w:rsidRPr="00D662C3" w:rsidRDefault="00E4678F" w:rsidP="00E4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4,6%</w:t>
            </w:r>
          </w:p>
        </w:tc>
      </w:tr>
      <w:tr w:rsidR="00E4678F" w14:paraId="6A5AC455" w14:textId="77777777" w:rsidTr="004859E7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74F2E909" w14:textId="1085E748" w:rsidR="00E4678F" w:rsidRPr="00E4678F" w:rsidRDefault="00E4678F" w:rsidP="00E4678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4678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Andalucía</w:t>
            </w:r>
          </w:p>
        </w:tc>
        <w:tc>
          <w:tcPr>
            <w:tcW w:w="2126" w:type="dxa"/>
            <w:vAlign w:val="bottom"/>
          </w:tcPr>
          <w:p w14:paraId="25E2E885" w14:textId="1F13A791" w:rsidR="00E4678F" w:rsidRPr="00AD1DFB" w:rsidRDefault="00E4678F" w:rsidP="00E46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Málaga</w:t>
            </w:r>
          </w:p>
        </w:tc>
        <w:tc>
          <w:tcPr>
            <w:tcW w:w="2948" w:type="dxa"/>
            <w:vAlign w:val="bottom"/>
          </w:tcPr>
          <w:p w14:paraId="0CFEFFAD" w14:textId="161D2DC6" w:rsidR="00E4678F" w:rsidRPr="00AD1DFB" w:rsidRDefault="00E4678F" w:rsidP="00E46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Fuengirola</w:t>
            </w:r>
          </w:p>
        </w:tc>
        <w:tc>
          <w:tcPr>
            <w:tcW w:w="1560" w:type="dxa"/>
            <w:vAlign w:val="bottom"/>
          </w:tcPr>
          <w:p w14:paraId="2DA33CA8" w14:textId="10C6776E" w:rsidR="00E4678F" w:rsidRPr="00D662C3" w:rsidRDefault="00E4678F" w:rsidP="00E4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4,6%</w:t>
            </w:r>
          </w:p>
        </w:tc>
      </w:tr>
      <w:tr w:rsidR="00E4678F" w14:paraId="1B60549C" w14:textId="77777777" w:rsidTr="00485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372ADFC6" w14:textId="3CA28C21" w:rsidR="00E4678F" w:rsidRPr="00E4678F" w:rsidRDefault="00E4678F" w:rsidP="00E4678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4678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Andalucía</w:t>
            </w:r>
          </w:p>
        </w:tc>
        <w:tc>
          <w:tcPr>
            <w:tcW w:w="2126" w:type="dxa"/>
            <w:vAlign w:val="bottom"/>
          </w:tcPr>
          <w:p w14:paraId="02D7822E" w14:textId="22F861C3" w:rsidR="00E4678F" w:rsidRPr="00AD1DFB" w:rsidRDefault="00E4678F" w:rsidP="00E46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Málaga</w:t>
            </w:r>
          </w:p>
        </w:tc>
        <w:tc>
          <w:tcPr>
            <w:tcW w:w="2948" w:type="dxa"/>
            <w:vAlign w:val="bottom"/>
          </w:tcPr>
          <w:p w14:paraId="20A9CA9F" w14:textId="699A7074" w:rsidR="00E4678F" w:rsidRPr="00AD1DFB" w:rsidRDefault="00E4678F" w:rsidP="00E46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Estepona</w:t>
            </w:r>
          </w:p>
        </w:tc>
        <w:tc>
          <w:tcPr>
            <w:tcW w:w="1560" w:type="dxa"/>
            <w:vAlign w:val="bottom"/>
          </w:tcPr>
          <w:p w14:paraId="2CCEFA2D" w14:textId="45181415" w:rsidR="00E4678F" w:rsidRPr="00D662C3" w:rsidRDefault="00E4678F" w:rsidP="00E4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4,8%</w:t>
            </w:r>
          </w:p>
        </w:tc>
      </w:tr>
      <w:tr w:rsidR="00E4678F" w14:paraId="6D2E3E63" w14:textId="77777777" w:rsidTr="004859E7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599AAA5B" w14:textId="732C3378" w:rsidR="00E4678F" w:rsidRPr="00E4678F" w:rsidRDefault="00E4678F" w:rsidP="00E4678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4678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Andalucía</w:t>
            </w:r>
          </w:p>
        </w:tc>
        <w:tc>
          <w:tcPr>
            <w:tcW w:w="2126" w:type="dxa"/>
            <w:vAlign w:val="bottom"/>
          </w:tcPr>
          <w:p w14:paraId="1D863C0E" w14:textId="2B76D8F1" w:rsidR="00E4678F" w:rsidRPr="00AD1DFB" w:rsidRDefault="00E4678F" w:rsidP="00E46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Málaga</w:t>
            </w:r>
          </w:p>
        </w:tc>
        <w:tc>
          <w:tcPr>
            <w:tcW w:w="2948" w:type="dxa"/>
            <w:vAlign w:val="bottom"/>
          </w:tcPr>
          <w:p w14:paraId="41BA9424" w14:textId="46D8922F" w:rsidR="00E4678F" w:rsidRPr="00AD1DFB" w:rsidRDefault="00E4678F" w:rsidP="00E46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Marbella</w:t>
            </w:r>
          </w:p>
        </w:tc>
        <w:tc>
          <w:tcPr>
            <w:tcW w:w="1560" w:type="dxa"/>
            <w:vAlign w:val="bottom"/>
          </w:tcPr>
          <w:p w14:paraId="2DD2059E" w14:textId="431ADCC4" w:rsidR="00E4678F" w:rsidRPr="00D662C3" w:rsidRDefault="00E4678F" w:rsidP="00E4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4,8%</w:t>
            </w:r>
          </w:p>
        </w:tc>
      </w:tr>
      <w:tr w:rsidR="00E4678F" w14:paraId="620296F5" w14:textId="77777777" w:rsidTr="00485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221C3A74" w14:textId="569D9E1C" w:rsidR="00E4678F" w:rsidRPr="00E4678F" w:rsidRDefault="00E4678F" w:rsidP="00E4678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4678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Andalucía</w:t>
            </w:r>
          </w:p>
        </w:tc>
        <w:tc>
          <w:tcPr>
            <w:tcW w:w="2126" w:type="dxa"/>
            <w:vAlign w:val="bottom"/>
          </w:tcPr>
          <w:p w14:paraId="2FFB2991" w14:textId="3C4D8DA8" w:rsidR="00E4678F" w:rsidRPr="00AD1DFB" w:rsidRDefault="00E4678F" w:rsidP="00E46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Cádiz</w:t>
            </w:r>
          </w:p>
        </w:tc>
        <w:tc>
          <w:tcPr>
            <w:tcW w:w="2948" w:type="dxa"/>
            <w:vAlign w:val="bottom"/>
          </w:tcPr>
          <w:p w14:paraId="517666B5" w14:textId="66F3C14E" w:rsidR="00E4678F" w:rsidRPr="00AD1DFB" w:rsidRDefault="00E4678F" w:rsidP="00E46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Cádiz Capital</w:t>
            </w:r>
          </w:p>
        </w:tc>
        <w:tc>
          <w:tcPr>
            <w:tcW w:w="1560" w:type="dxa"/>
            <w:vAlign w:val="bottom"/>
          </w:tcPr>
          <w:p w14:paraId="464F0F16" w14:textId="64F978B4" w:rsidR="00E4678F" w:rsidRPr="00D662C3" w:rsidRDefault="00E4678F" w:rsidP="00E4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4,9%</w:t>
            </w:r>
          </w:p>
        </w:tc>
      </w:tr>
      <w:tr w:rsidR="00E4678F" w14:paraId="65C95588" w14:textId="77777777" w:rsidTr="004859E7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18661849" w14:textId="66A03E3C" w:rsidR="00E4678F" w:rsidRPr="00E4678F" w:rsidRDefault="00E4678F" w:rsidP="00E4678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4678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Baleares</w:t>
            </w:r>
          </w:p>
        </w:tc>
        <w:tc>
          <w:tcPr>
            <w:tcW w:w="2126" w:type="dxa"/>
            <w:vAlign w:val="bottom"/>
          </w:tcPr>
          <w:p w14:paraId="1FBE75D9" w14:textId="5674E6C7" w:rsidR="00E4678F" w:rsidRPr="00AD1DFB" w:rsidRDefault="00E4678F" w:rsidP="00E46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Illes Balears</w:t>
            </w:r>
          </w:p>
        </w:tc>
        <w:tc>
          <w:tcPr>
            <w:tcW w:w="2948" w:type="dxa"/>
            <w:vAlign w:val="bottom"/>
          </w:tcPr>
          <w:p w14:paraId="68BBCAB0" w14:textId="1B7F9BB2" w:rsidR="00E4678F" w:rsidRPr="00AD1DFB" w:rsidRDefault="00E4678F" w:rsidP="00E46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Palma de Mallorca</w:t>
            </w:r>
          </w:p>
        </w:tc>
        <w:tc>
          <w:tcPr>
            <w:tcW w:w="1560" w:type="dxa"/>
            <w:vAlign w:val="bottom"/>
          </w:tcPr>
          <w:p w14:paraId="075BBF5F" w14:textId="61227369" w:rsidR="00E4678F" w:rsidRPr="00D662C3" w:rsidRDefault="00E4678F" w:rsidP="00E4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4,9%</w:t>
            </w:r>
          </w:p>
        </w:tc>
      </w:tr>
      <w:tr w:rsidR="00E4678F" w14:paraId="2280E1F0" w14:textId="77777777" w:rsidTr="00485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77E3412F" w14:textId="430340F5" w:rsidR="00E4678F" w:rsidRPr="00E4678F" w:rsidRDefault="00E4678F" w:rsidP="00E4678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4678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Cantabria</w:t>
            </w:r>
          </w:p>
        </w:tc>
        <w:tc>
          <w:tcPr>
            <w:tcW w:w="2126" w:type="dxa"/>
            <w:vAlign w:val="bottom"/>
          </w:tcPr>
          <w:p w14:paraId="64488ECD" w14:textId="198A1518" w:rsidR="00E4678F" w:rsidRPr="00AD1DFB" w:rsidRDefault="00E4678F" w:rsidP="00E46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Cantabria</w:t>
            </w:r>
          </w:p>
        </w:tc>
        <w:tc>
          <w:tcPr>
            <w:tcW w:w="2948" w:type="dxa"/>
            <w:vAlign w:val="bottom"/>
          </w:tcPr>
          <w:p w14:paraId="4E9B2983" w14:textId="07724EF9" w:rsidR="00E4678F" w:rsidRPr="00AD1DFB" w:rsidRDefault="00E4678F" w:rsidP="00E46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Santander</w:t>
            </w:r>
          </w:p>
        </w:tc>
        <w:tc>
          <w:tcPr>
            <w:tcW w:w="1560" w:type="dxa"/>
            <w:vAlign w:val="bottom"/>
          </w:tcPr>
          <w:p w14:paraId="319454AB" w14:textId="37408C32" w:rsidR="00E4678F" w:rsidRPr="00D662C3" w:rsidRDefault="00E4678F" w:rsidP="00E4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5,0%</w:t>
            </w:r>
          </w:p>
        </w:tc>
      </w:tr>
      <w:tr w:rsidR="00E4678F" w14:paraId="5715FABD" w14:textId="77777777" w:rsidTr="004859E7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45688868" w14:textId="5A089621" w:rsidR="00E4678F" w:rsidRPr="00E4678F" w:rsidRDefault="00E4678F" w:rsidP="00E4678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4678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Andalucía</w:t>
            </w:r>
          </w:p>
        </w:tc>
        <w:tc>
          <w:tcPr>
            <w:tcW w:w="2126" w:type="dxa"/>
            <w:vAlign w:val="bottom"/>
          </w:tcPr>
          <w:p w14:paraId="5645DDEA" w14:textId="07D38996" w:rsidR="00E4678F" w:rsidRPr="00AD1DFB" w:rsidRDefault="00E4678F" w:rsidP="00E46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Málaga</w:t>
            </w:r>
          </w:p>
        </w:tc>
        <w:tc>
          <w:tcPr>
            <w:tcW w:w="2948" w:type="dxa"/>
            <w:vAlign w:val="bottom"/>
          </w:tcPr>
          <w:p w14:paraId="515F3592" w14:textId="37982921" w:rsidR="00E4678F" w:rsidRPr="00AD1DFB" w:rsidRDefault="00E4678F" w:rsidP="00E46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Benalmádena</w:t>
            </w:r>
          </w:p>
        </w:tc>
        <w:tc>
          <w:tcPr>
            <w:tcW w:w="1560" w:type="dxa"/>
            <w:vAlign w:val="bottom"/>
          </w:tcPr>
          <w:p w14:paraId="4C96FA87" w14:textId="733A76A8" w:rsidR="00E4678F" w:rsidRPr="00D662C3" w:rsidRDefault="00E4678F" w:rsidP="00E4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5,1%</w:t>
            </w:r>
          </w:p>
        </w:tc>
      </w:tr>
      <w:tr w:rsidR="00E4678F" w14:paraId="55612A9F" w14:textId="77777777" w:rsidTr="00485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0140FB82" w14:textId="2740952C" w:rsidR="00E4678F" w:rsidRPr="00E4678F" w:rsidRDefault="00E4678F" w:rsidP="00E4678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4678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Asturias</w:t>
            </w:r>
          </w:p>
        </w:tc>
        <w:tc>
          <w:tcPr>
            <w:tcW w:w="2126" w:type="dxa"/>
            <w:vAlign w:val="bottom"/>
          </w:tcPr>
          <w:p w14:paraId="34FD4B59" w14:textId="7ED53907" w:rsidR="00E4678F" w:rsidRPr="00AD1DFB" w:rsidRDefault="00E4678F" w:rsidP="00E46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Asturias</w:t>
            </w:r>
          </w:p>
        </w:tc>
        <w:tc>
          <w:tcPr>
            <w:tcW w:w="2948" w:type="dxa"/>
            <w:vAlign w:val="bottom"/>
          </w:tcPr>
          <w:p w14:paraId="744053BF" w14:textId="0C0C13D4" w:rsidR="00E4678F" w:rsidRPr="00AD1DFB" w:rsidRDefault="00E4678F" w:rsidP="00E46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Avilés</w:t>
            </w:r>
          </w:p>
        </w:tc>
        <w:tc>
          <w:tcPr>
            <w:tcW w:w="1560" w:type="dxa"/>
            <w:vAlign w:val="bottom"/>
          </w:tcPr>
          <w:p w14:paraId="62D9B77D" w14:textId="4D453E60" w:rsidR="00E4678F" w:rsidRPr="00D662C3" w:rsidRDefault="00E4678F" w:rsidP="00E4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5,1%</w:t>
            </w:r>
          </w:p>
        </w:tc>
      </w:tr>
      <w:tr w:rsidR="00E4678F" w14:paraId="0842FF53" w14:textId="77777777" w:rsidTr="004859E7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0BAD0B67" w14:textId="2000DD4D" w:rsidR="00E4678F" w:rsidRPr="00E4678F" w:rsidRDefault="00E4678F" w:rsidP="00E4678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4678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Andalucía</w:t>
            </w:r>
          </w:p>
        </w:tc>
        <w:tc>
          <w:tcPr>
            <w:tcW w:w="2126" w:type="dxa"/>
            <w:vAlign w:val="bottom"/>
          </w:tcPr>
          <w:p w14:paraId="089B28A4" w14:textId="36BBEE51" w:rsidR="00E4678F" w:rsidRPr="00AD1DFB" w:rsidRDefault="00E4678F" w:rsidP="00E46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Málaga</w:t>
            </w:r>
          </w:p>
        </w:tc>
        <w:tc>
          <w:tcPr>
            <w:tcW w:w="2948" w:type="dxa"/>
            <w:vAlign w:val="bottom"/>
          </w:tcPr>
          <w:p w14:paraId="4372D439" w14:textId="701A0A9C" w:rsidR="00E4678F" w:rsidRPr="00AD1DFB" w:rsidRDefault="00E4678F" w:rsidP="00E46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Rincón de la Victoria</w:t>
            </w:r>
          </w:p>
        </w:tc>
        <w:tc>
          <w:tcPr>
            <w:tcW w:w="1560" w:type="dxa"/>
            <w:vAlign w:val="bottom"/>
          </w:tcPr>
          <w:p w14:paraId="274474D6" w14:textId="0C40CAD6" w:rsidR="00E4678F" w:rsidRPr="00D662C3" w:rsidRDefault="00E4678F" w:rsidP="00E4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5,1%</w:t>
            </w:r>
          </w:p>
        </w:tc>
      </w:tr>
      <w:tr w:rsidR="00E4678F" w14:paraId="507A1766" w14:textId="77777777" w:rsidTr="00485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0D49D4DE" w14:textId="0F2617D2" w:rsidR="00E4678F" w:rsidRPr="00E4678F" w:rsidRDefault="00E4678F" w:rsidP="00E4678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4678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Cataluña</w:t>
            </w:r>
          </w:p>
        </w:tc>
        <w:tc>
          <w:tcPr>
            <w:tcW w:w="2126" w:type="dxa"/>
            <w:vAlign w:val="bottom"/>
          </w:tcPr>
          <w:p w14:paraId="64780796" w14:textId="36C57001" w:rsidR="00E4678F" w:rsidRPr="00AD1DFB" w:rsidRDefault="00E4678F" w:rsidP="00E46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Barcelona</w:t>
            </w:r>
          </w:p>
        </w:tc>
        <w:tc>
          <w:tcPr>
            <w:tcW w:w="2948" w:type="dxa"/>
            <w:vAlign w:val="bottom"/>
          </w:tcPr>
          <w:p w14:paraId="6BC7F582" w14:textId="2F6904BF" w:rsidR="00E4678F" w:rsidRPr="00AD1DFB" w:rsidRDefault="00E4678F" w:rsidP="00E46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Castelldefels</w:t>
            </w:r>
          </w:p>
        </w:tc>
        <w:tc>
          <w:tcPr>
            <w:tcW w:w="1560" w:type="dxa"/>
            <w:vAlign w:val="bottom"/>
          </w:tcPr>
          <w:p w14:paraId="71226B45" w14:textId="492A25EE" w:rsidR="00E4678F" w:rsidRPr="00D662C3" w:rsidRDefault="00E4678F" w:rsidP="00E4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5,2%</w:t>
            </w:r>
          </w:p>
        </w:tc>
      </w:tr>
      <w:tr w:rsidR="00E4678F" w14:paraId="64DADCBA" w14:textId="77777777" w:rsidTr="004859E7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76E07C18" w14:textId="5EF4B6B2" w:rsidR="00E4678F" w:rsidRPr="00E4678F" w:rsidRDefault="00E4678F" w:rsidP="00E4678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4678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Comunitat Valenciana</w:t>
            </w:r>
          </w:p>
        </w:tc>
        <w:tc>
          <w:tcPr>
            <w:tcW w:w="2126" w:type="dxa"/>
            <w:vAlign w:val="bottom"/>
          </w:tcPr>
          <w:p w14:paraId="1D058EF8" w14:textId="5D7B4583" w:rsidR="00E4678F" w:rsidRPr="00AD1DFB" w:rsidRDefault="00E4678F" w:rsidP="00E46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Alicante</w:t>
            </w:r>
          </w:p>
        </w:tc>
        <w:tc>
          <w:tcPr>
            <w:tcW w:w="2948" w:type="dxa"/>
            <w:vAlign w:val="bottom"/>
          </w:tcPr>
          <w:p w14:paraId="794A8972" w14:textId="2A95AD41" w:rsidR="00E4678F" w:rsidRPr="00AD1DFB" w:rsidRDefault="00E4678F" w:rsidP="00E46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Benidorm</w:t>
            </w:r>
          </w:p>
        </w:tc>
        <w:tc>
          <w:tcPr>
            <w:tcW w:w="1560" w:type="dxa"/>
            <w:vAlign w:val="bottom"/>
          </w:tcPr>
          <w:p w14:paraId="3B87D3F3" w14:textId="5A1FD7FD" w:rsidR="00E4678F" w:rsidRPr="00D662C3" w:rsidRDefault="00E4678F" w:rsidP="00E4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5,3%</w:t>
            </w:r>
          </w:p>
        </w:tc>
      </w:tr>
      <w:tr w:rsidR="00E4678F" w14:paraId="206379BE" w14:textId="77777777" w:rsidTr="00485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3B52C867" w14:textId="4FF52412" w:rsidR="00E4678F" w:rsidRPr="00E4678F" w:rsidRDefault="00E4678F" w:rsidP="00E4678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4678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Andalucía</w:t>
            </w:r>
          </w:p>
        </w:tc>
        <w:tc>
          <w:tcPr>
            <w:tcW w:w="2126" w:type="dxa"/>
            <w:vAlign w:val="bottom"/>
          </w:tcPr>
          <w:p w14:paraId="71DEE26B" w14:textId="5EC16D75" w:rsidR="00E4678F" w:rsidRPr="00AD1DFB" w:rsidRDefault="00E4678F" w:rsidP="00E46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Málaga</w:t>
            </w:r>
          </w:p>
        </w:tc>
        <w:tc>
          <w:tcPr>
            <w:tcW w:w="2948" w:type="dxa"/>
            <w:vAlign w:val="bottom"/>
          </w:tcPr>
          <w:p w14:paraId="0EA11C42" w14:textId="02B8BA96" w:rsidR="00E4678F" w:rsidRPr="00AD1DFB" w:rsidRDefault="00E4678F" w:rsidP="00E46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Torremolinos</w:t>
            </w:r>
          </w:p>
        </w:tc>
        <w:tc>
          <w:tcPr>
            <w:tcW w:w="1560" w:type="dxa"/>
            <w:vAlign w:val="bottom"/>
          </w:tcPr>
          <w:p w14:paraId="55C5CD58" w14:textId="33FF3525" w:rsidR="00E4678F" w:rsidRPr="00D662C3" w:rsidRDefault="00E4678F" w:rsidP="00E4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5,4%</w:t>
            </w:r>
          </w:p>
        </w:tc>
      </w:tr>
    </w:tbl>
    <w:p w14:paraId="2C4F95A6" w14:textId="047BAC1C" w:rsidR="00B41A97" w:rsidRPr="00B41A97" w:rsidRDefault="00B41A97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lastRenderedPageBreak/>
        <w:t xml:space="preserve">Sobre </w:t>
      </w:r>
      <w:r w:rsidR="00152FC9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F</w:t>
      </w: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</w:p>
    <w:p w14:paraId="1CA6A521" w14:textId="77777777" w:rsidR="002E4AE0" w:rsidRPr="006722A1" w:rsidRDefault="002E4AE0" w:rsidP="002E4AE0">
      <w:pPr>
        <w:pStyle w:val="NormalWeb"/>
        <w:shd w:val="clear" w:color="auto" w:fill="FFFFFF"/>
        <w:spacing w:line="276" w:lineRule="atLeast"/>
        <w:ind w:right="-567"/>
        <w:jc w:val="both"/>
        <w:rPr>
          <w:color w:val="222222"/>
          <w:sz w:val="21"/>
          <w:szCs w:val="21"/>
        </w:rPr>
      </w:pPr>
      <w:r w:rsidRPr="006722A1">
        <w:rPr>
          <w:rFonts w:ascii="Open Sans" w:hAnsi="Open Sans" w:cs="Open Sans"/>
          <w:color w:val="000000"/>
          <w:sz w:val="21"/>
          <w:szCs w:val="21"/>
        </w:rPr>
        <w:t>Portal inmobiliario que cuenta con inmuebles de segunda mano, promociones de obra nueva y viviendas de alquiler. Cada mes genera un tráfico de 22 millones de visitas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Pr="006722A1">
        <w:rPr>
          <w:rFonts w:ascii="Open Sans" w:hAnsi="Open Sans" w:cs="Open Sans"/>
          <w:color w:val="000000"/>
          <w:sz w:val="21"/>
          <w:szCs w:val="21"/>
        </w:rPr>
        <w:t>(70% a través de dispositivos móviles) y 650 millones de páginas vistas y cada día la visitan un promedio de 493.000 usuarios únicos.</w:t>
      </w:r>
    </w:p>
    <w:p w14:paraId="40199BB6" w14:textId="77777777" w:rsidR="002E4AE0" w:rsidRPr="006722A1" w:rsidRDefault="002E4AE0" w:rsidP="002E4AE0">
      <w:pPr>
        <w:pStyle w:val="NormalWeb"/>
        <w:shd w:val="clear" w:color="auto" w:fill="FFFFFF"/>
        <w:spacing w:line="276" w:lineRule="atLeast"/>
        <w:ind w:right="-567"/>
        <w:jc w:val="both"/>
        <w:rPr>
          <w:color w:val="222222"/>
          <w:sz w:val="21"/>
          <w:szCs w:val="21"/>
        </w:rPr>
      </w:pPr>
      <w:r w:rsidRPr="006722A1">
        <w:rPr>
          <w:rFonts w:ascii="Open Sans" w:hAnsi="Open Sans" w:cs="Open Sans"/>
          <w:color w:val="000000"/>
          <w:sz w:val="21"/>
          <w:szCs w:val="21"/>
        </w:rPr>
        <w:t>Mensualmente elabora el </w:t>
      </w:r>
      <w:hyperlink r:id="rId13" w:tgtFrame="_blank" w:history="1">
        <w:r w:rsidRPr="006722A1">
          <w:rPr>
            <w:rStyle w:val="Hipervnculo"/>
            <w:rFonts w:ascii="Open Sans" w:hAnsi="Open Sans" w:cs="Open Sans"/>
            <w:sz w:val="21"/>
            <w:szCs w:val="21"/>
          </w:rPr>
          <w:t>índice inmobiliario Fotocasa</w:t>
        </w:r>
      </w:hyperlink>
      <w:r w:rsidRPr="006722A1">
        <w:rPr>
          <w:rFonts w:ascii="Open Sans" w:hAnsi="Open Sans" w:cs="Open Sans"/>
          <w:color w:val="000000"/>
          <w:sz w:val="21"/>
          <w:szCs w:val="21"/>
        </w:rPr>
        <w:t>, un informe de referencia sobre la evolución del precio medio de la vivienda en España, tanto en venta como en alquiler.</w:t>
      </w:r>
    </w:p>
    <w:p w14:paraId="31775BDA" w14:textId="2E998468" w:rsidR="002E4AE0" w:rsidRPr="006722A1" w:rsidRDefault="002559F8" w:rsidP="002E4AE0">
      <w:pPr>
        <w:pStyle w:val="NormalWeb"/>
        <w:shd w:val="clear" w:color="auto" w:fill="FFFFFF"/>
        <w:spacing w:line="276" w:lineRule="atLeast"/>
        <w:ind w:right="-567"/>
        <w:jc w:val="both"/>
        <w:rPr>
          <w:color w:val="222222"/>
          <w:sz w:val="21"/>
          <w:szCs w:val="21"/>
        </w:rPr>
      </w:pPr>
      <w:hyperlink r:id="rId14" w:tgtFrame="_blank" w:history="1">
        <w:r w:rsidR="002E4AE0" w:rsidRPr="006722A1">
          <w:rPr>
            <w:rStyle w:val="Hipervnculo"/>
            <w:rFonts w:ascii="Open Sans" w:hAnsi="Open Sans" w:cs="Open Sans"/>
            <w:b/>
            <w:bCs/>
            <w:sz w:val="21"/>
            <w:szCs w:val="21"/>
          </w:rPr>
          <w:t>Fotocasa</w:t>
        </w:r>
      </w:hyperlink>
      <w:r w:rsidR="002E4AE0" w:rsidRPr="006722A1">
        <w:rPr>
          <w:rFonts w:ascii="Open Sans" w:hAnsi="Open Sans" w:cs="Open Sans"/>
          <w:color w:val="000000"/>
          <w:sz w:val="21"/>
          <w:szCs w:val="21"/>
        </w:rPr>
        <w:t> pertenece a </w:t>
      </w:r>
      <w:proofErr w:type="spellStart"/>
      <w:r w:rsidR="008D6C75">
        <w:fldChar w:fldCharType="begin"/>
      </w:r>
      <w:r w:rsidR="008D6C75">
        <w:instrText xml:space="preserve"> HYPERLINK "https://www.adevinta.com/" \t "_blank" </w:instrText>
      </w:r>
      <w:r w:rsidR="008D6C75">
        <w:fldChar w:fldCharType="separate"/>
      </w:r>
      <w:r w:rsidR="002E4AE0" w:rsidRPr="006722A1">
        <w:rPr>
          <w:rStyle w:val="Hipervnculo"/>
          <w:rFonts w:ascii="Open Sans" w:hAnsi="Open Sans" w:cs="Open Sans"/>
          <w:sz w:val="21"/>
          <w:szCs w:val="21"/>
        </w:rPr>
        <w:t>Adevinta</w:t>
      </w:r>
      <w:proofErr w:type="spellEnd"/>
      <w:r w:rsidR="008D6C75">
        <w:rPr>
          <w:rStyle w:val="Hipervnculo"/>
          <w:rFonts w:ascii="Open Sans" w:hAnsi="Open Sans" w:cs="Open Sans"/>
          <w:sz w:val="21"/>
          <w:szCs w:val="21"/>
        </w:rPr>
        <w:fldChar w:fldCharType="end"/>
      </w:r>
      <w:r w:rsidR="002E4AE0" w:rsidRPr="006722A1">
        <w:rPr>
          <w:rFonts w:ascii="Open Sans" w:hAnsi="Open Sans" w:cs="Open Sans"/>
          <w:color w:val="000000"/>
          <w:sz w:val="21"/>
          <w:szCs w:val="21"/>
        </w:rPr>
        <w:t xml:space="preserve">, una empresa 100% especializada en Marketplace digitales y el único “pure </w:t>
      </w:r>
      <w:proofErr w:type="spellStart"/>
      <w:r w:rsidR="002E4AE0" w:rsidRPr="006722A1">
        <w:rPr>
          <w:rFonts w:ascii="Open Sans" w:hAnsi="Open Sans" w:cs="Open Sans"/>
          <w:color w:val="000000"/>
          <w:sz w:val="21"/>
          <w:szCs w:val="21"/>
        </w:rPr>
        <w:t>player</w:t>
      </w:r>
      <w:proofErr w:type="spellEnd"/>
      <w:r w:rsidR="002E4AE0" w:rsidRPr="006722A1">
        <w:rPr>
          <w:rFonts w:ascii="Open Sans" w:hAnsi="Open Sans" w:cs="Open Sans"/>
          <w:color w:val="000000"/>
          <w:sz w:val="21"/>
          <w:szCs w:val="21"/>
        </w:rPr>
        <w:t>” del sector a nivel mundial. Con presencia en 1</w:t>
      </w:r>
      <w:r w:rsidR="006D7527">
        <w:rPr>
          <w:rFonts w:ascii="Open Sans" w:hAnsi="Open Sans" w:cs="Open Sans"/>
          <w:color w:val="000000"/>
          <w:sz w:val="21"/>
          <w:szCs w:val="21"/>
        </w:rPr>
        <w:t>5</w:t>
      </w:r>
      <w:r w:rsidR="002E4AE0" w:rsidRPr="006722A1">
        <w:rPr>
          <w:rFonts w:ascii="Open Sans" w:hAnsi="Open Sans" w:cs="Open Sans"/>
          <w:color w:val="000000"/>
          <w:sz w:val="21"/>
          <w:szCs w:val="21"/>
        </w:rPr>
        <w:t xml:space="preserve"> países de Europa, </w:t>
      </w:r>
      <w:r w:rsidR="002E4AE0">
        <w:rPr>
          <w:rFonts w:ascii="Open Sans" w:hAnsi="Open Sans" w:cs="Open Sans"/>
          <w:color w:val="000000"/>
          <w:sz w:val="21"/>
          <w:szCs w:val="21"/>
        </w:rPr>
        <w:t>A</w:t>
      </w:r>
      <w:r w:rsidR="002E4AE0" w:rsidRPr="006722A1">
        <w:rPr>
          <w:rFonts w:ascii="Open Sans" w:hAnsi="Open Sans" w:cs="Open Sans"/>
          <w:color w:val="000000"/>
          <w:sz w:val="21"/>
          <w:szCs w:val="21"/>
        </w:rPr>
        <w:t>mérica Latina y África del Norte, el conjunto de sus plataformas locales recibe un promedio de 1.500 millones de visitas cada mes.</w:t>
      </w:r>
    </w:p>
    <w:p w14:paraId="4B0B7FA7" w14:textId="77777777" w:rsidR="002E4AE0" w:rsidRDefault="002E4AE0" w:rsidP="002E4AE0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722A1">
        <w:rPr>
          <w:rFonts w:ascii="Open Sans" w:hAnsi="Open Sans" w:cs="Open Sans"/>
          <w:color w:val="000000"/>
          <w:sz w:val="21"/>
          <w:szCs w:val="21"/>
        </w:rPr>
        <w:t>En España, </w:t>
      </w:r>
      <w:proofErr w:type="spellStart"/>
      <w:r w:rsidR="008D6C75">
        <w:fldChar w:fldCharType="begin"/>
      </w:r>
      <w:r w:rsidR="008D6C75">
        <w:instrText xml:space="preserve"> HYPERLINK "https://www.adevinta.com/" \t "_blank" </w:instrText>
      </w:r>
      <w:r w:rsidR="008D6C75">
        <w:fldChar w:fldCharType="separate"/>
      </w:r>
      <w:r w:rsidRPr="006722A1">
        <w:rPr>
          <w:rStyle w:val="Hipervnculo"/>
          <w:rFonts w:ascii="Open Sans" w:hAnsi="Open Sans" w:cs="Open Sans"/>
          <w:sz w:val="21"/>
          <w:szCs w:val="21"/>
        </w:rPr>
        <w:t>Adevinta</w:t>
      </w:r>
      <w:proofErr w:type="spellEnd"/>
      <w:r w:rsidR="008D6C75">
        <w:rPr>
          <w:rStyle w:val="Hipervnculo"/>
          <w:rFonts w:ascii="Open Sans" w:hAnsi="Open Sans" w:cs="Open Sans"/>
          <w:sz w:val="21"/>
          <w:szCs w:val="21"/>
        </w:rPr>
        <w:fldChar w:fldCharType="end"/>
      </w:r>
      <w:r w:rsidRPr="006722A1">
        <w:rPr>
          <w:rFonts w:ascii="Open Sans" w:hAnsi="Open Sans" w:cs="Open Sans"/>
          <w:color w:val="000000"/>
          <w:sz w:val="21"/>
          <w:szCs w:val="21"/>
        </w:rPr>
        <w:t xml:space="preserve">, antes Schibsted </w:t>
      </w:r>
      <w:proofErr w:type="spellStart"/>
      <w:r w:rsidRPr="006722A1">
        <w:rPr>
          <w:rFonts w:ascii="Open Sans" w:hAnsi="Open Sans" w:cs="Open Sans"/>
          <w:color w:val="000000"/>
          <w:sz w:val="21"/>
          <w:szCs w:val="21"/>
        </w:rPr>
        <w:t>Spain</w:t>
      </w:r>
      <w:proofErr w:type="spellEnd"/>
      <w:r w:rsidRPr="006722A1">
        <w:rPr>
          <w:rFonts w:ascii="Open Sans" w:hAnsi="Open Sans" w:cs="Open Sans"/>
          <w:color w:val="000000"/>
          <w:sz w:val="21"/>
          <w:szCs w:val="21"/>
        </w:rPr>
        <w:t xml:space="preserve">, es una de las principales empresas del sector tecnológico del país y un referente de transformación digital. En sus 40 años de trayectoria en el mercado español de clasificados, los negocios de </w:t>
      </w:r>
      <w:proofErr w:type="spellStart"/>
      <w:r w:rsidRPr="006722A1">
        <w:rPr>
          <w:rFonts w:ascii="Open Sans" w:hAnsi="Open Sans" w:cs="Open Sans"/>
          <w:color w:val="000000"/>
          <w:sz w:val="21"/>
          <w:szCs w:val="21"/>
        </w:rPr>
        <w:t>Adevinta</w:t>
      </w:r>
      <w:proofErr w:type="spellEnd"/>
      <w:r w:rsidRPr="006722A1">
        <w:rPr>
          <w:rFonts w:ascii="Open Sans" w:hAnsi="Open Sans" w:cs="Open Sans"/>
          <w:color w:val="000000"/>
          <w:sz w:val="21"/>
          <w:szCs w:val="21"/>
        </w:rPr>
        <w:t xml:space="preserve"> han evolucionado del papel al online hasta convertirse en el referente de Internet en sectores relevantes como inmobiliaria (</w:t>
      </w:r>
      <w:hyperlink r:id="rId15" w:tgtFrame="_blank" w:history="1">
        <w:r w:rsidRPr="006722A1">
          <w:rPr>
            <w:rStyle w:val="Hipervnculo"/>
            <w:rFonts w:ascii="Open Sans" w:hAnsi="Open Sans" w:cs="Open Sans"/>
            <w:sz w:val="21"/>
            <w:szCs w:val="21"/>
          </w:rPr>
          <w:t>Fotocasa</w:t>
        </w:r>
      </w:hyperlink>
      <w:r w:rsidRPr="006722A1">
        <w:rPr>
          <w:rFonts w:ascii="Open Sans" w:hAnsi="Open Sans" w:cs="Open Sans"/>
          <w:color w:val="000000"/>
          <w:sz w:val="21"/>
          <w:szCs w:val="21"/>
        </w:rPr>
        <w:t> y </w:t>
      </w:r>
      <w:proofErr w:type="spellStart"/>
      <w:r w:rsidR="008D6C75">
        <w:fldChar w:fldCharType="begin"/>
      </w:r>
      <w:r w:rsidR="008D6C75">
        <w:instrText xml:space="preserve"> HYPERLINK "https://www.habitaclia.com/" \t "_blank" </w:instrText>
      </w:r>
      <w:r w:rsidR="008D6C75">
        <w:fldChar w:fldCharType="separate"/>
      </w:r>
      <w:r w:rsidRPr="006722A1">
        <w:rPr>
          <w:rStyle w:val="Hipervnculo"/>
          <w:rFonts w:ascii="Open Sans" w:hAnsi="Open Sans" w:cs="Open Sans"/>
          <w:sz w:val="21"/>
          <w:szCs w:val="21"/>
        </w:rPr>
        <w:t>habitaclia</w:t>
      </w:r>
      <w:proofErr w:type="spellEnd"/>
      <w:r w:rsidR="008D6C75">
        <w:rPr>
          <w:rStyle w:val="Hipervnculo"/>
          <w:rFonts w:ascii="Open Sans" w:hAnsi="Open Sans" w:cs="Open Sans"/>
          <w:sz w:val="21"/>
          <w:szCs w:val="21"/>
        </w:rPr>
        <w:fldChar w:fldCharType="end"/>
      </w:r>
      <w:r w:rsidRPr="006722A1">
        <w:rPr>
          <w:rFonts w:ascii="Open Sans" w:hAnsi="Open Sans" w:cs="Open Sans"/>
          <w:color w:val="000000"/>
          <w:sz w:val="21"/>
          <w:szCs w:val="21"/>
        </w:rPr>
        <w:t>), empleo (</w:t>
      </w:r>
      <w:hyperlink r:id="rId16" w:tgtFrame="_blank" w:history="1">
        <w:r w:rsidRPr="006722A1">
          <w:rPr>
            <w:rStyle w:val="Hipervnculo"/>
            <w:rFonts w:ascii="Open Sans" w:hAnsi="Open Sans" w:cs="Open Sans"/>
            <w:sz w:val="21"/>
            <w:szCs w:val="21"/>
          </w:rPr>
          <w:t>Infojobs.net</w:t>
        </w:r>
      </w:hyperlink>
      <w:r w:rsidRPr="006722A1">
        <w:rPr>
          <w:rFonts w:ascii="Open Sans" w:hAnsi="Open Sans" w:cs="Open Sans"/>
          <w:color w:val="000000"/>
          <w:sz w:val="21"/>
          <w:szCs w:val="21"/>
        </w:rPr>
        <w:t>), motor (</w:t>
      </w:r>
      <w:hyperlink r:id="rId17" w:tgtFrame="_blank" w:history="1">
        <w:r w:rsidRPr="006722A1">
          <w:rPr>
            <w:rStyle w:val="Hipervnculo"/>
            <w:rFonts w:ascii="Open Sans" w:hAnsi="Open Sans" w:cs="Open Sans"/>
            <w:sz w:val="21"/>
            <w:szCs w:val="21"/>
          </w:rPr>
          <w:t>coches.net</w:t>
        </w:r>
      </w:hyperlink>
      <w:r w:rsidRPr="006722A1">
        <w:rPr>
          <w:rFonts w:ascii="Open Sans" w:hAnsi="Open Sans" w:cs="Open Sans"/>
          <w:color w:val="000000"/>
          <w:sz w:val="21"/>
          <w:szCs w:val="21"/>
        </w:rPr>
        <w:t> y </w:t>
      </w:r>
      <w:hyperlink r:id="rId18" w:tgtFrame="_blank" w:history="1">
        <w:r w:rsidRPr="006722A1">
          <w:rPr>
            <w:rStyle w:val="Hipervnculo"/>
            <w:rFonts w:ascii="Open Sans" w:hAnsi="Open Sans" w:cs="Open Sans"/>
            <w:sz w:val="21"/>
            <w:szCs w:val="21"/>
          </w:rPr>
          <w:t>motos.ne</w:t>
        </w:r>
      </w:hyperlink>
      <w:r w:rsidRPr="006722A1">
        <w:rPr>
          <w:rFonts w:ascii="Open Sans" w:hAnsi="Open Sans" w:cs="Open Sans"/>
          <w:color w:val="000000"/>
          <w:sz w:val="21"/>
          <w:szCs w:val="21"/>
        </w:rPr>
        <w:t>t) y segunda mano (</w:t>
      </w:r>
      <w:proofErr w:type="spellStart"/>
      <w:r w:rsidR="008D6C75">
        <w:fldChar w:fldCharType="begin"/>
      </w:r>
      <w:r w:rsidR="008D6C75">
        <w:instrText xml:space="preserve"> HYPERLINK "https://www.milanuncios.es/" \t "_blank" </w:instrText>
      </w:r>
      <w:r w:rsidR="008D6C75">
        <w:fldChar w:fldCharType="separate"/>
      </w:r>
      <w:r w:rsidRPr="006722A1">
        <w:rPr>
          <w:rStyle w:val="Hipervnculo"/>
          <w:rFonts w:ascii="Open Sans" w:hAnsi="Open Sans" w:cs="Open Sans"/>
          <w:sz w:val="21"/>
          <w:szCs w:val="21"/>
        </w:rPr>
        <w:t>Milanuncios</w:t>
      </w:r>
      <w:proofErr w:type="spellEnd"/>
      <w:r w:rsidR="008D6C75">
        <w:rPr>
          <w:rStyle w:val="Hipervnculo"/>
          <w:rFonts w:ascii="Open Sans" w:hAnsi="Open Sans" w:cs="Open Sans"/>
          <w:sz w:val="21"/>
          <w:szCs w:val="21"/>
        </w:rPr>
        <w:fldChar w:fldCharType="end"/>
      </w:r>
      <w:r w:rsidRPr="006722A1">
        <w:rPr>
          <w:rFonts w:ascii="Open Sans" w:hAnsi="Open Sans" w:cs="Open Sans"/>
          <w:color w:val="000000"/>
          <w:sz w:val="21"/>
          <w:szCs w:val="21"/>
        </w:rPr>
        <w:t> y </w:t>
      </w:r>
      <w:proofErr w:type="spellStart"/>
      <w:r w:rsidR="008D6C75">
        <w:fldChar w:fldCharType="begin"/>
      </w:r>
      <w:r w:rsidR="008D6C75">
        <w:instrText xml:space="preserve"> HYPERLINK "https://www.vibbo.com/" \t "_blank" </w:instrText>
      </w:r>
      <w:r w:rsidR="008D6C75">
        <w:fldChar w:fldCharType="separate"/>
      </w:r>
      <w:r w:rsidRPr="006722A1">
        <w:rPr>
          <w:rStyle w:val="Hipervnculo"/>
          <w:rFonts w:ascii="Open Sans" w:hAnsi="Open Sans" w:cs="Open Sans"/>
          <w:sz w:val="21"/>
          <w:szCs w:val="21"/>
        </w:rPr>
        <w:t>vibbo</w:t>
      </w:r>
      <w:proofErr w:type="spellEnd"/>
      <w:r w:rsidR="008D6C75">
        <w:rPr>
          <w:rStyle w:val="Hipervnculo"/>
          <w:rFonts w:ascii="Open Sans" w:hAnsi="Open Sans" w:cs="Open Sans"/>
          <w:sz w:val="21"/>
          <w:szCs w:val="21"/>
        </w:rPr>
        <w:fldChar w:fldCharType="end"/>
      </w:r>
      <w:r w:rsidRPr="006722A1">
        <w:rPr>
          <w:rFonts w:ascii="Open Sans" w:hAnsi="Open Sans" w:cs="Open Sans"/>
          <w:color w:val="000000"/>
          <w:sz w:val="21"/>
          <w:szCs w:val="21"/>
        </w:rPr>
        <w:t xml:space="preserve">). Sus más de 18 millones de usuarios al mes sitúan </w:t>
      </w:r>
      <w:proofErr w:type="spellStart"/>
      <w:r w:rsidRPr="006722A1">
        <w:rPr>
          <w:rFonts w:ascii="Open Sans" w:hAnsi="Open Sans" w:cs="Open Sans"/>
          <w:color w:val="000000"/>
          <w:sz w:val="21"/>
          <w:szCs w:val="21"/>
        </w:rPr>
        <w:t>Adevinta</w:t>
      </w:r>
      <w:proofErr w:type="spellEnd"/>
      <w:r w:rsidRPr="006722A1">
        <w:rPr>
          <w:rFonts w:ascii="Open Sans" w:hAnsi="Open Sans" w:cs="Open Sans"/>
          <w:color w:val="000000"/>
          <w:sz w:val="21"/>
          <w:szCs w:val="21"/>
        </w:rPr>
        <w:t xml:space="preserve"> entre las diez compañías con mayor audiencia de Internet en España (y la mayor empresa digital española). </w:t>
      </w:r>
      <w:proofErr w:type="spellStart"/>
      <w:r w:rsidRPr="006722A1">
        <w:rPr>
          <w:rFonts w:ascii="Open Sans" w:hAnsi="Open Sans" w:cs="Open Sans"/>
          <w:color w:val="000000"/>
          <w:sz w:val="21"/>
          <w:szCs w:val="21"/>
        </w:rPr>
        <w:t>Adevinta</w:t>
      </w:r>
      <w:proofErr w:type="spellEnd"/>
      <w:r w:rsidRPr="006722A1">
        <w:rPr>
          <w:rFonts w:ascii="Open Sans" w:hAnsi="Open Sans" w:cs="Open Sans"/>
          <w:color w:val="000000"/>
          <w:sz w:val="21"/>
          <w:szCs w:val="21"/>
        </w:rPr>
        <w:t xml:space="preserve"> cuenta en la actualidad con una plantilla de más de 1.000 empleados en España. </w:t>
      </w:r>
    </w:p>
    <w:p w14:paraId="3DB28A04" w14:textId="77777777" w:rsidR="00400CD5" w:rsidRDefault="00400CD5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05659320" w14:textId="77777777" w:rsidR="00400CD5" w:rsidRDefault="00400CD5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4C9D3AC" w14:textId="77777777" w:rsidR="00B41A97" w:rsidRPr="00B41A97" w:rsidRDefault="00B41A97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D</w:t>
      </w: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epartamento de Comunicación de F</w:t>
      </w: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</w:p>
    <w:p w14:paraId="6DCA24EE" w14:textId="77777777"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b/>
          <w:bCs/>
          <w:color w:val="000000"/>
          <w:sz w:val="21"/>
          <w:szCs w:val="21"/>
        </w:rPr>
      </w:pPr>
      <w:r w:rsidRPr="00B41A97">
        <w:rPr>
          <w:rFonts w:ascii="Open Sans" w:hAnsi="Open Sans" w:cs="Open Sans"/>
          <w:b/>
          <w:bCs/>
          <w:color w:val="000000"/>
          <w:sz w:val="21"/>
          <w:szCs w:val="21"/>
        </w:rPr>
        <w:t>Anaïs López</w:t>
      </w:r>
    </w:p>
    <w:p w14:paraId="7DFBF84D" w14:textId="77777777" w:rsidR="00B41A97" w:rsidRPr="0089339F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  <w:lang w:val="en-US"/>
        </w:rPr>
      </w:pPr>
      <w:bookmarkStart w:id="1" w:name="_GoBack"/>
      <w:bookmarkEnd w:id="1"/>
      <w:proofErr w:type="spellStart"/>
      <w:r w:rsidRPr="0089339F">
        <w:rPr>
          <w:rFonts w:ascii="Open Sans" w:hAnsi="Open Sans" w:cs="Open Sans"/>
          <w:color w:val="000000"/>
          <w:sz w:val="21"/>
          <w:szCs w:val="21"/>
          <w:lang w:val="en-US"/>
        </w:rPr>
        <w:t>Móvil</w:t>
      </w:r>
      <w:proofErr w:type="spellEnd"/>
      <w:r w:rsidRPr="0089339F">
        <w:rPr>
          <w:rFonts w:ascii="Open Sans" w:hAnsi="Open Sans" w:cs="Open Sans"/>
          <w:color w:val="000000"/>
          <w:sz w:val="21"/>
          <w:szCs w:val="21"/>
          <w:lang w:val="en-US"/>
        </w:rPr>
        <w:t>: 620 66 29 26</w:t>
      </w:r>
    </w:p>
    <w:p w14:paraId="46718B19" w14:textId="77777777" w:rsidR="00B41A97" w:rsidRPr="0089339F" w:rsidRDefault="002559F8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  <w:lang w:val="en-US"/>
        </w:rPr>
      </w:pPr>
      <w:hyperlink r:id="rId19" w:history="1">
        <w:r w:rsidR="00B41A97" w:rsidRPr="0089339F">
          <w:rPr>
            <w:rStyle w:val="Hipervnculo"/>
            <w:rFonts w:ascii="Open Sans" w:hAnsi="Open Sans" w:cs="Open Sans"/>
            <w:sz w:val="21"/>
            <w:szCs w:val="21"/>
            <w:lang w:val="en-US"/>
          </w:rPr>
          <w:t>comunicacion@fotocasa.es</w:t>
        </w:r>
      </w:hyperlink>
    </w:p>
    <w:p w14:paraId="0CF211EE" w14:textId="77777777" w:rsidR="00B41A97" w:rsidRPr="0089339F" w:rsidRDefault="002559F8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  <w:lang w:val="en-US"/>
        </w:rPr>
      </w:pPr>
      <w:hyperlink r:id="rId20" w:history="1">
        <w:r w:rsidR="00B41A97" w:rsidRPr="0089339F">
          <w:rPr>
            <w:rStyle w:val="Hipervnculo"/>
            <w:rFonts w:ascii="Open Sans" w:hAnsi="Open Sans" w:cs="Open Sans"/>
            <w:sz w:val="21"/>
            <w:szCs w:val="21"/>
            <w:lang w:val="en-US"/>
          </w:rPr>
          <w:t>http://prensa.fotocasa.es</w:t>
        </w:r>
      </w:hyperlink>
    </w:p>
    <w:p w14:paraId="3DA694C1" w14:textId="77777777" w:rsidR="00B41A97" w:rsidRPr="00010ECE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proofErr w:type="spellStart"/>
      <w:r w:rsidRPr="00B41A97">
        <w:rPr>
          <w:rFonts w:ascii="Open Sans" w:hAnsi="Open Sans" w:cs="Open Sans"/>
          <w:color w:val="000000"/>
          <w:sz w:val="21"/>
          <w:szCs w:val="21"/>
        </w:rPr>
        <w:t>twitter</w:t>
      </w:r>
      <w:proofErr w:type="spellEnd"/>
      <w:r w:rsidRPr="00B41A97">
        <w:rPr>
          <w:rFonts w:ascii="Open Sans" w:hAnsi="Open Sans" w:cs="Open Sans"/>
          <w:color w:val="000000"/>
          <w:sz w:val="21"/>
          <w:szCs w:val="21"/>
        </w:rPr>
        <w:t>: @</w:t>
      </w:r>
      <w:proofErr w:type="spellStart"/>
      <w:r w:rsidRPr="00B41A97">
        <w:rPr>
          <w:rFonts w:ascii="Open Sans" w:hAnsi="Open Sans" w:cs="Open Sans"/>
          <w:color w:val="000000"/>
          <w:sz w:val="21"/>
          <w:szCs w:val="21"/>
        </w:rPr>
        <w:t>fotocasa</w:t>
      </w:r>
      <w:proofErr w:type="spellEnd"/>
    </w:p>
    <w:sectPr w:rsidR="00B41A97" w:rsidRPr="00010ECE" w:rsidSect="007A55E0">
      <w:footerReference w:type="default" r:id="rId2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B3CA3" w14:textId="77777777" w:rsidR="002559F8" w:rsidRDefault="002559F8" w:rsidP="00DD4CA4">
      <w:r>
        <w:separator/>
      </w:r>
    </w:p>
  </w:endnote>
  <w:endnote w:type="continuationSeparator" w:id="0">
    <w:p w14:paraId="5E89E8B0" w14:textId="77777777" w:rsidR="002559F8" w:rsidRDefault="002559F8" w:rsidP="00DD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tional">
    <w:altName w:val="Corbel"/>
    <w:panose1 w:val="00000000000000000000"/>
    <w:charset w:val="4D"/>
    <w:family w:val="auto"/>
    <w:notTrueType/>
    <w:pitch w:val="variable"/>
    <w:sig w:usb0="00000001" w:usb1="5000207B" w:usb2="00000010" w:usb3="00000000" w:csb0="0000009B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Corbe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30B86" w14:textId="77777777" w:rsidR="00111408" w:rsidRDefault="00111408">
    <w:pPr>
      <w:pStyle w:val="Piedepgina"/>
    </w:pPr>
    <w:r>
      <w:rPr>
        <w:rFonts w:ascii="Open Sans" w:hAnsi="Open Sans" w:cs="Open Sans"/>
        <w:noProof/>
        <w:color w:val="000000"/>
        <w:sz w:val="21"/>
        <w:szCs w:val="21"/>
        <w:lang w:val="es-ES" w:eastAsia="es-ES" w:bidi="ks-Deva"/>
      </w:rPr>
      <w:drawing>
        <wp:anchor distT="0" distB="0" distL="114300" distR="114300" simplePos="0" relativeHeight="251659264" behindDoc="1" locked="0" layoutInCell="1" allowOverlap="1" wp14:anchorId="09EB5D34" wp14:editId="25633948">
          <wp:simplePos x="0" y="0"/>
          <wp:positionH relativeFrom="column">
            <wp:posOffset>-1068070</wp:posOffset>
          </wp:positionH>
          <wp:positionV relativeFrom="paragraph">
            <wp:posOffset>174608</wp:posOffset>
          </wp:positionV>
          <wp:extent cx="7670550" cy="451315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_N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856DE" w14:textId="77777777" w:rsidR="002559F8" w:rsidRDefault="002559F8" w:rsidP="00DD4CA4">
      <w:r>
        <w:separator/>
      </w:r>
    </w:p>
  </w:footnote>
  <w:footnote w:type="continuationSeparator" w:id="0">
    <w:p w14:paraId="119CB3B6" w14:textId="77777777" w:rsidR="002559F8" w:rsidRDefault="002559F8" w:rsidP="00DD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57E20"/>
    <w:multiLevelType w:val="hybridMultilevel"/>
    <w:tmpl w:val="C30C5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A0A67"/>
    <w:multiLevelType w:val="hybridMultilevel"/>
    <w:tmpl w:val="6EB47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F5BC2"/>
    <w:multiLevelType w:val="multilevel"/>
    <w:tmpl w:val="E13A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B22EA9"/>
    <w:multiLevelType w:val="hybridMultilevel"/>
    <w:tmpl w:val="A7CA6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24275"/>
    <w:multiLevelType w:val="hybridMultilevel"/>
    <w:tmpl w:val="8CE6C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61786"/>
    <w:multiLevelType w:val="multilevel"/>
    <w:tmpl w:val="3C42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7C4E6B"/>
    <w:multiLevelType w:val="hybridMultilevel"/>
    <w:tmpl w:val="47F60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A7"/>
    <w:rsid w:val="000070FE"/>
    <w:rsid w:val="00010A8D"/>
    <w:rsid w:val="00010ECE"/>
    <w:rsid w:val="00014EC0"/>
    <w:rsid w:val="00021D89"/>
    <w:rsid w:val="00041450"/>
    <w:rsid w:val="00063144"/>
    <w:rsid w:val="00075085"/>
    <w:rsid w:val="00084308"/>
    <w:rsid w:val="000A3C1F"/>
    <w:rsid w:val="000A4242"/>
    <w:rsid w:val="000B20E9"/>
    <w:rsid w:val="000C428A"/>
    <w:rsid w:val="000C57FF"/>
    <w:rsid w:val="000D75C0"/>
    <w:rsid w:val="00111408"/>
    <w:rsid w:val="00111C1E"/>
    <w:rsid w:val="0014415E"/>
    <w:rsid w:val="001517D2"/>
    <w:rsid w:val="00152FC9"/>
    <w:rsid w:val="00165694"/>
    <w:rsid w:val="001679C8"/>
    <w:rsid w:val="001761D6"/>
    <w:rsid w:val="00180D95"/>
    <w:rsid w:val="0019106E"/>
    <w:rsid w:val="00196144"/>
    <w:rsid w:val="001B011E"/>
    <w:rsid w:val="001B5C2E"/>
    <w:rsid w:val="001E69C0"/>
    <w:rsid w:val="001F3768"/>
    <w:rsid w:val="0021639C"/>
    <w:rsid w:val="0022500B"/>
    <w:rsid w:val="002302A7"/>
    <w:rsid w:val="0024318A"/>
    <w:rsid w:val="00243E91"/>
    <w:rsid w:val="00247090"/>
    <w:rsid w:val="002559F8"/>
    <w:rsid w:val="00267D6C"/>
    <w:rsid w:val="002710D2"/>
    <w:rsid w:val="00285782"/>
    <w:rsid w:val="00292293"/>
    <w:rsid w:val="002A35C0"/>
    <w:rsid w:val="002B0FAA"/>
    <w:rsid w:val="002B6E3D"/>
    <w:rsid w:val="002B75FA"/>
    <w:rsid w:val="002B76EA"/>
    <w:rsid w:val="002B7A5F"/>
    <w:rsid w:val="002C1AB0"/>
    <w:rsid w:val="002C4A56"/>
    <w:rsid w:val="002D06D5"/>
    <w:rsid w:val="002E4AE0"/>
    <w:rsid w:val="002E4F9D"/>
    <w:rsid w:val="002F1AD6"/>
    <w:rsid w:val="002F2D4F"/>
    <w:rsid w:val="002F40F3"/>
    <w:rsid w:val="003024E4"/>
    <w:rsid w:val="003027F6"/>
    <w:rsid w:val="00303104"/>
    <w:rsid w:val="0030786F"/>
    <w:rsid w:val="00307DF9"/>
    <w:rsid w:val="00310D8A"/>
    <w:rsid w:val="003242DF"/>
    <w:rsid w:val="003320EE"/>
    <w:rsid w:val="003335DC"/>
    <w:rsid w:val="003429B3"/>
    <w:rsid w:val="00351CB1"/>
    <w:rsid w:val="003539D7"/>
    <w:rsid w:val="0035736D"/>
    <w:rsid w:val="00374B40"/>
    <w:rsid w:val="00380C4D"/>
    <w:rsid w:val="0039057C"/>
    <w:rsid w:val="00393365"/>
    <w:rsid w:val="003C758F"/>
    <w:rsid w:val="003D2610"/>
    <w:rsid w:val="003D5368"/>
    <w:rsid w:val="003E1489"/>
    <w:rsid w:val="003E5343"/>
    <w:rsid w:val="003E79BB"/>
    <w:rsid w:val="003F4390"/>
    <w:rsid w:val="00400CD5"/>
    <w:rsid w:val="004029F8"/>
    <w:rsid w:val="00406C13"/>
    <w:rsid w:val="00410D15"/>
    <w:rsid w:val="0041218A"/>
    <w:rsid w:val="004459C5"/>
    <w:rsid w:val="00445F0C"/>
    <w:rsid w:val="00453FB5"/>
    <w:rsid w:val="00454F4C"/>
    <w:rsid w:val="0045662A"/>
    <w:rsid w:val="004577E7"/>
    <w:rsid w:val="00463560"/>
    <w:rsid w:val="00470ED1"/>
    <w:rsid w:val="004712E6"/>
    <w:rsid w:val="004859E7"/>
    <w:rsid w:val="004A44C5"/>
    <w:rsid w:val="004B0DEC"/>
    <w:rsid w:val="004B4D5D"/>
    <w:rsid w:val="004D2D9F"/>
    <w:rsid w:val="004D48B4"/>
    <w:rsid w:val="004F06A4"/>
    <w:rsid w:val="004F4D46"/>
    <w:rsid w:val="005029E9"/>
    <w:rsid w:val="00503F5B"/>
    <w:rsid w:val="00505ED5"/>
    <w:rsid w:val="00516F9C"/>
    <w:rsid w:val="00581903"/>
    <w:rsid w:val="00582136"/>
    <w:rsid w:val="00585032"/>
    <w:rsid w:val="005863EA"/>
    <w:rsid w:val="00587182"/>
    <w:rsid w:val="00592FBE"/>
    <w:rsid w:val="00593D08"/>
    <w:rsid w:val="005A1AD1"/>
    <w:rsid w:val="005A4CB5"/>
    <w:rsid w:val="005A6189"/>
    <w:rsid w:val="005B3144"/>
    <w:rsid w:val="005B37BD"/>
    <w:rsid w:val="005C38F1"/>
    <w:rsid w:val="005D12D9"/>
    <w:rsid w:val="005E0920"/>
    <w:rsid w:val="005E71CA"/>
    <w:rsid w:val="005F4F9E"/>
    <w:rsid w:val="005F6323"/>
    <w:rsid w:val="005F6CA3"/>
    <w:rsid w:val="00606A1A"/>
    <w:rsid w:val="00611616"/>
    <w:rsid w:val="006130B6"/>
    <w:rsid w:val="0062018B"/>
    <w:rsid w:val="006245F1"/>
    <w:rsid w:val="006251BA"/>
    <w:rsid w:val="00633ECE"/>
    <w:rsid w:val="00637401"/>
    <w:rsid w:val="0064657F"/>
    <w:rsid w:val="00650951"/>
    <w:rsid w:val="006618CC"/>
    <w:rsid w:val="006665AA"/>
    <w:rsid w:val="006963BB"/>
    <w:rsid w:val="006A44F8"/>
    <w:rsid w:val="006C4C5E"/>
    <w:rsid w:val="006D009E"/>
    <w:rsid w:val="006D1E41"/>
    <w:rsid w:val="006D7527"/>
    <w:rsid w:val="006F2116"/>
    <w:rsid w:val="006F6575"/>
    <w:rsid w:val="007027AA"/>
    <w:rsid w:val="0070382F"/>
    <w:rsid w:val="00704984"/>
    <w:rsid w:val="007055F6"/>
    <w:rsid w:val="0071058F"/>
    <w:rsid w:val="00730BA2"/>
    <w:rsid w:val="007321BA"/>
    <w:rsid w:val="00733A32"/>
    <w:rsid w:val="00736F3A"/>
    <w:rsid w:val="00740E53"/>
    <w:rsid w:val="007434EE"/>
    <w:rsid w:val="00752803"/>
    <w:rsid w:val="00753088"/>
    <w:rsid w:val="00756253"/>
    <w:rsid w:val="0076156F"/>
    <w:rsid w:val="00761709"/>
    <w:rsid w:val="00776C17"/>
    <w:rsid w:val="00791127"/>
    <w:rsid w:val="00793775"/>
    <w:rsid w:val="007A2126"/>
    <w:rsid w:val="007A2DB6"/>
    <w:rsid w:val="007A3590"/>
    <w:rsid w:val="007A55E0"/>
    <w:rsid w:val="007A5E03"/>
    <w:rsid w:val="007B0929"/>
    <w:rsid w:val="007B5175"/>
    <w:rsid w:val="007B7B16"/>
    <w:rsid w:val="007D2726"/>
    <w:rsid w:val="007E07A8"/>
    <w:rsid w:val="007E7286"/>
    <w:rsid w:val="007F341F"/>
    <w:rsid w:val="00821FF7"/>
    <w:rsid w:val="0083043A"/>
    <w:rsid w:val="00834ED1"/>
    <w:rsid w:val="00835805"/>
    <w:rsid w:val="00840819"/>
    <w:rsid w:val="00846D4A"/>
    <w:rsid w:val="00847032"/>
    <w:rsid w:val="00861183"/>
    <w:rsid w:val="0086121D"/>
    <w:rsid w:val="00863400"/>
    <w:rsid w:val="00865A03"/>
    <w:rsid w:val="008871B3"/>
    <w:rsid w:val="0089339F"/>
    <w:rsid w:val="008B478E"/>
    <w:rsid w:val="008C2B02"/>
    <w:rsid w:val="008D283E"/>
    <w:rsid w:val="008D2DD9"/>
    <w:rsid w:val="008D6C75"/>
    <w:rsid w:val="008E1900"/>
    <w:rsid w:val="008F28F4"/>
    <w:rsid w:val="008F3535"/>
    <w:rsid w:val="0091200C"/>
    <w:rsid w:val="00912525"/>
    <w:rsid w:val="00931C0B"/>
    <w:rsid w:val="0093735E"/>
    <w:rsid w:val="009409BA"/>
    <w:rsid w:val="00962386"/>
    <w:rsid w:val="00964BED"/>
    <w:rsid w:val="00970605"/>
    <w:rsid w:val="00972E67"/>
    <w:rsid w:val="00973E4E"/>
    <w:rsid w:val="00976889"/>
    <w:rsid w:val="009815B4"/>
    <w:rsid w:val="00993081"/>
    <w:rsid w:val="00996C63"/>
    <w:rsid w:val="009A5E1C"/>
    <w:rsid w:val="009B0F2A"/>
    <w:rsid w:val="009C0542"/>
    <w:rsid w:val="009C5BB0"/>
    <w:rsid w:val="009D2F77"/>
    <w:rsid w:val="009D5236"/>
    <w:rsid w:val="009D718A"/>
    <w:rsid w:val="00A06774"/>
    <w:rsid w:val="00A1320F"/>
    <w:rsid w:val="00A227BB"/>
    <w:rsid w:val="00A2313F"/>
    <w:rsid w:val="00A31A74"/>
    <w:rsid w:val="00A338CE"/>
    <w:rsid w:val="00A358F7"/>
    <w:rsid w:val="00A52175"/>
    <w:rsid w:val="00A527A4"/>
    <w:rsid w:val="00A56319"/>
    <w:rsid w:val="00A674E7"/>
    <w:rsid w:val="00A70CC8"/>
    <w:rsid w:val="00A76E50"/>
    <w:rsid w:val="00A77720"/>
    <w:rsid w:val="00A84CA7"/>
    <w:rsid w:val="00A952B4"/>
    <w:rsid w:val="00A95883"/>
    <w:rsid w:val="00AA7C43"/>
    <w:rsid w:val="00AB54EA"/>
    <w:rsid w:val="00AB6F53"/>
    <w:rsid w:val="00AD0C78"/>
    <w:rsid w:val="00AD0F7C"/>
    <w:rsid w:val="00AD1DFB"/>
    <w:rsid w:val="00AD28E6"/>
    <w:rsid w:val="00AD4486"/>
    <w:rsid w:val="00AD62DD"/>
    <w:rsid w:val="00AE1825"/>
    <w:rsid w:val="00AE553B"/>
    <w:rsid w:val="00AF163D"/>
    <w:rsid w:val="00B04900"/>
    <w:rsid w:val="00B10769"/>
    <w:rsid w:val="00B249B1"/>
    <w:rsid w:val="00B30707"/>
    <w:rsid w:val="00B41A97"/>
    <w:rsid w:val="00B575DB"/>
    <w:rsid w:val="00B57D54"/>
    <w:rsid w:val="00B6101B"/>
    <w:rsid w:val="00B668EA"/>
    <w:rsid w:val="00B722D7"/>
    <w:rsid w:val="00B82416"/>
    <w:rsid w:val="00B82525"/>
    <w:rsid w:val="00B85F69"/>
    <w:rsid w:val="00B97DF8"/>
    <w:rsid w:val="00BA3A3D"/>
    <w:rsid w:val="00BC0BE4"/>
    <w:rsid w:val="00BC1D19"/>
    <w:rsid w:val="00BC2CF1"/>
    <w:rsid w:val="00BF10C3"/>
    <w:rsid w:val="00C154DC"/>
    <w:rsid w:val="00C460B2"/>
    <w:rsid w:val="00C60D19"/>
    <w:rsid w:val="00C93EF4"/>
    <w:rsid w:val="00CC2113"/>
    <w:rsid w:val="00CD129D"/>
    <w:rsid w:val="00CE6775"/>
    <w:rsid w:val="00CF7C81"/>
    <w:rsid w:val="00D011A6"/>
    <w:rsid w:val="00D17C1E"/>
    <w:rsid w:val="00D31332"/>
    <w:rsid w:val="00D31A57"/>
    <w:rsid w:val="00D32F55"/>
    <w:rsid w:val="00D3495E"/>
    <w:rsid w:val="00D52203"/>
    <w:rsid w:val="00D662C3"/>
    <w:rsid w:val="00D70AD1"/>
    <w:rsid w:val="00D7664A"/>
    <w:rsid w:val="00D77A13"/>
    <w:rsid w:val="00D8519D"/>
    <w:rsid w:val="00D860D3"/>
    <w:rsid w:val="00D917EB"/>
    <w:rsid w:val="00D91C64"/>
    <w:rsid w:val="00D965A3"/>
    <w:rsid w:val="00DB02A7"/>
    <w:rsid w:val="00DC68F0"/>
    <w:rsid w:val="00DC6B59"/>
    <w:rsid w:val="00DC7AC3"/>
    <w:rsid w:val="00DD4CA4"/>
    <w:rsid w:val="00DD4CE7"/>
    <w:rsid w:val="00DF3B05"/>
    <w:rsid w:val="00DF4A26"/>
    <w:rsid w:val="00E054C5"/>
    <w:rsid w:val="00E17B06"/>
    <w:rsid w:val="00E44CE3"/>
    <w:rsid w:val="00E459C8"/>
    <w:rsid w:val="00E4678F"/>
    <w:rsid w:val="00E574A0"/>
    <w:rsid w:val="00E84EE3"/>
    <w:rsid w:val="00E93B9B"/>
    <w:rsid w:val="00EA2EBC"/>
    <w:rsid w:val="00EA721E"/>
    <w:rsid w:val="00EB55FB"/>
    <w:rsid w:val="00EB7EA5"/>
    <w:rsid w:val="00EC0C47"/>
    <w:rsid w:val="00ED6CFA"/>
    <w:rsid w:val="00EE12AE"/>
    <w:rsid w:val="00EE786E"/>
    <w:rsid w:val="00F00B64"/>
    <w:rsid w:val="00F208DC"/>
    <w:rsid w:val="00F6050C"/>
    <w:rsid w:val="00F65870"/>
    <w:rsid w:val="00F87921"/>
    <w:rsid w:val="00F9754E"/>
    <w:rsid w:val="00FA4744"/>
    <w:rsid w:val="00FB324D"/>
    <w:rsid w:val="00FC6DBE"/>
    <w:rsid w:val="00FD6A4B"/>
    <w:rsid w:val="00FE4C89"/>
    <w:rsid w:val="00FE6386"/>
    <w:rsid w:val="00FF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4383D"/>
  <w15:docId w15:val="{9FB972BF-DF11-49B5-8942-60CC4275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64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4B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4BED"/>
    <w:rPr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E84EE3"/>
    <w:rPr>
      <w:color w:val="605E5C"/>
      <w:shd w:val="clear" w:color="auto" w:fill="E1DFDD"/>
    </w:rPr>
  </w:style>
  <w:style w:type="paragraph" w:customStyle="1" w:styleId="Cuerpo">
    <w:name w:val="Cuerpo"/>
    <w:rsid w:val="0014415E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Ninguno">
    <w:name w:val="Ninguno"/>
    <w:rsid w:val="0014415E"/>
    <w:rPr>
      <w:lang w:val="es-ES_tradnl"/>
    </w:rPr>
  </w:style>
  <w:style w:type="table" w:styleId="Tablaconcuadrcula5oscura-nfasis1">
    <w:name w:val="Grid Table 5 Dark Accent 1"/>
    <w:basedOn w:val="Tablanormal"/>
    <w:uiPriority w:val="50"/>
    <w:rsid w:val="0014415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customStyle="1" w:styleId="Texto">
    <w:name w:val="Texto"/>
    <w:basedOn w:val="Normal"/>
    <w:uiPriority w:val="99"/>
    <w:rsid w:val="0014415E"/>
    <w:rPr>
      <w:rFonts w:ascii="Gill Sans MT" w:eastAsia="Times New Roman" w:hAnsi="Gill Sans MT" w:cs="Arial"/>
      <w:sz w:val="22"/>
      <w:szCs w:val="22"/>
      <w:lang w:val="pt-BR" w:eastAsia="es-ES"/>
    </w:rPr>
  </w:style>
  <w:style w:type="paragraph" w:customStyle="1" w:styleId="Listavistosa-nfasis11">
    <w:name w:val="Lista vistosa - Énfasis 11"/>
    <w:basedOn w:val="Normal"/>
    <w:qFormat/>
    <w:rsid w:val="0014415E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character" w:styleId="nfasis">
    <w:name w:val="Emphasis"/>
    <w:qFormat/>
    <w:rsid w:val="0014415E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5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otocasa.es/indice/" TargetMode="External"/><Relationship Id="rId18" Type="http://schemas.openxmlformats.org/officeDocument/2006/relationships/hyperlink" Target="https://motos.coches.net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hyperlink" Target="https://www.coches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fojobs.net/" TargetMode="External"/><Relationship Id="rId20" Type="http://schemas.openxmlformats.org/officeDocument/2006/relationships/hyperlink" Target="http://prensa.fotocasa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tocasa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tocasa.es/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yperlink" Target="file:///\\servidor\Users\Techsales%20Comunicaci&#243;n\CLIENTES\Fotocasa\fotocasa%202018\NP%20&#205;NDICES\Ndp%20&#237;ndices%20SEPTIEMBRE\Nueva%20Imagen%20Venta%20apoyo\comunicacion@fotocasa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tocasa.es" TargetMode="External"/><Relationship Id="rId14" Type="http://schemas.openxmlformats.org/officeDocument/2006/relationships/hyperlink" Target="http://www.fotocasa.es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ani\Google%20Drive\PATRI%20Y%20ELENA\001%20CLIENTES\01-SCHIBSTED\04-ESTUDIO%20NdP\VIVIENDA%20COSTAS%20ESPA&#209;A\JUNIO%202020\Rentabilidad%20Costa%20Espa&#241;ola%20junio%20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ani\Google%20Drive\PATRI%20Y%20ELENA\001%20CLIENTES\01-SCHIBSTED\04-ESTUDIO%20NdP\VIVIENDA%20COSTAS%20ESPA&#209;A\JUNIO%202020\Rentabilidad%20Costa%20Espa&#241;ola%20junio%2020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[Rentabilidad Costa Española junio 2020.xlsx]Hoja4!TablaDinámica4</c:name>
    <c:fmtId val="-1"/>
  </c:pivotSource>
  <c:chart>
    <c:autoTitleDeleted val="1"/>
    <c:pivotFmts>
      <c:pivotFmt>
        <c:idx val="0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5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5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5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2.4619158237832596E-2"/>
          <c:y val="7.9405521497325535E-2"/>
          <c:w val="0.95287790278825191"/>
          <c:h val="0.612555036225611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Hoja4!$N$6:$N$7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097C-4549-ABEF-368A522EDA37}"/>
              </c:ext>
            </c:extLst>
          </c:dPt>
          <c:dPt>
            <c:idx val="1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097C-4549-ABEF-368A522EDA37}"/>
              </c:ext>
            </c:extLst>
          </c:dPt>
          <c:dPt>
            <c:idx val="2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097C-4549-ABEF-368A522EDA37}"/>
              </c:ext>
            </c:extLst>
          </c:dPt>
          <c:dPt>
            <c:idx val="3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097C-4549-ABEF-368A522EDA37}"/>
              </c:ext>
            </c:extLst>
          </c:dPt>
          <c:dPt>
            <c:idx val="4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097C-4549-ABEF-368A522EDA37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097C-4549-ABEF-368A522EDA37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C-097C-4549-ABEF-368A522EDA37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097C-4549-ABEF-368A522EDA37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E-097C-4549-ABEF-368A522EDA37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097C-4549-ABEF-368A522EDA37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0-097C-4549-ABEF-368A522EDA37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097C-4549-ABEF-368A522EDA37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2-097C-4549-ABEF-368A522EDA37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097C-4549-ABEF-368A522EDA37}"/>
              </c:ext>
            </c:extLst>
          </c:dPt>
          <c:dPt>
            <c:idx val="14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4-097C-4549-ABEF-368A522EDA37}"/>
              </c:ext>
            </c:extLst>
          </c:dPt>
          <c:dPt>
            <c:idx val="15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097C-4549-ABEF-368A522EDA3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Hoja4!$M$8:$M$23</c:f>
              <c:strCache>
                <c:ptCount val="16"/>
                <c:pt idx="0">
                  <c:v>Algeciras</c:v>
                </c:pt>
                <c:pt idx="1">
                  <c:v>Cartagena</c:v>
                </c:pt>
                <c:pt idx="2">
                  <c:v>Puerto de la Cruz</c:v>
                </c:pt>
                <c:pt idx="3">
                  <c:v>Torrevieja</c:v>
                </c:pt>
                <c:pt idx="4">
                  <c:v>Castro-Urdiales</c:v>
                </c:pt>
                <c:pt idx="5">
                  <c:v>Almería Capital</c:v>
                </c:pt>
                <c:pt idx="6">
                  <c:v>Valencia Capital</c:v>
                </c:pt>
                <c:pt idx="7">
                  <c:v>Gijón</c:v>
                </c:pt>
                <c:pt idx="8">
                  <c:v>Elche / Elx</c:v>
                </c:pt>
                <c:pt idx="9">
                  <c:v>Mijas</c:v>
                </c:pt>
                <c:pt idx="10">
                  <c:v>Alicante / Alacant</c:v>
                </c:pt>
                <c:pt idx="11">
                  <c:v>Roquetas de Mar</c:v>
                </c:pt>
                <c:pt idx="12">
                  <c:v>Llucmajor</c:v>
                </c:pt>
                <c:pt idx="13">
                  <c:v>Mataró</c:v>
                </c:pt>
                <c:pt idx="14">
                  <c:v>Arona</c:v>
                </c:pt>
                <c:pt idx="15">
                  <c:v>El Campello</c:v>
                </c:pt>
              </c:strCache>
            </c:strRef>
          </c:cat>
          <c:val>
            <c:numRef>
              <c:f>Hoja4!$N$8:$N$23</c:f>
              <c:numCache>
                <c:formatCode>0.0%</c:formatCode>
                <c:ptCount val="16"/>
                <c:pt idx="0">
                  <c:v>7.5456038106923126E-2</c:v>
                </c:pt>
                <c:pt idx="1">
                  <c:v>6.7900159858185219E-2</c:v>
                </c:pt>
                <c:pt idx="2">
                  <c:v>6.5304478687551654E-2</c:v>
                </c:pt>
                <c:pt idx="3">
                  <c:v>6.2887323462492414E-2</c:v>
                </c:pt>
                <c:pt idx="4">
                  <c:v>6.2499714956787453E-2</c:v>
                </c:pt>
                <c:pt idx="5">
                  <c:v>6.0244245364270102E-2</c:v>
                </c:pt>
                <c:pt idx="6">
                  <c:v>5.990252547629598E-2</c:v>
                </c:pt>
                <c:pt idx="7">
                  <c:v>5.9887962407406369E-2</c:v>
                </c:pt>
                <c:pt idx="8">
                  <c:v>5.9030492572322124E-2</c:v>
                </c:pt>
                <c:pt idx="9">
                  <c:v>5.8266481693708905E-2</c:v>
                </c:pt>
                <c:pt idx="10">
                  <c:v>5.791465331548E-2</c:v>
                </c:pt>
                <c:pt idx="11">
                  <c:v>5.6813259466976719E-2</c:v>
                </c:pt>
                <c:pt idx="12">
                  <c:v>5.6758231762779707E-2</c:v>
                </c:pt>
                <c:pt idx="13">
                  <c:v>5.6733199236680597E-2</c:v>
                </c:pt>
                <c:pt idx="14">
                  <c:v>5.5856968327575113E-2</c:v>
                </c:pt>
                <c:pt idx="15">
                  <c:v>5.5669609934025643E-2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97C-4549-ABEF-368A522EDA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47"/>
        <c:axId val="1578640480"/>
        <c:axId val="413890320"/>
      </c:barChart>
      <c:catAx>
        <c:axId val="1578640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13890320"/>
        <c:crosses val="autoZero"/>
        <c:auto val="1"/>
        <c:lblAlgn val="ctr"/>
        <c:lblOffset val="100"/>
        <c:noMultiLvlLbl val="0"/>
      </c:catAx>
      <c:valAx>
        <c:axId val="413890320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1578640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152847297518079E-2"/>
          <c:y val="5.8794076314393061E-2"/>
          <c:w val="0.86794437929301393"/>
          <c:h val="0.57186502020498486"/>
        </c:manualLayout>
      </c:layout>
      <c:lineChart>
        <c:grouping val="standard"/>
        <c:varyColors val="0"/>
        <c:ser>
          <c:idx val="0"/>
          <c:order val="0"/>
          <c:tx>
            <c:strRef>
              <c:f>Hoja4!$B$23</c:f>
              <c:strCache>
                <c:ptCount val="1"/>
                <c:pt idx="0">
                  <c:v>Algeciras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15875">
                <a:solidFill>
                  <a:schemeClr val="accent1"/>
                </a:solidFill>
              </a:ln>
              <a:effectLst/>
            </c:spPr>
          </c:marker>
          <c:dLbls>
            <c:dLbl>
              <c:idx val="12"/>
              <c:layout>
                <c:manualLayout>
                  <c:x val="0"/>
                  <c:y val="-3.94964206368797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A73-4E0E-89AA-80ADA3381C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Hoja4!$A$24:$A$36</c:f>
              <c:strCache>
                <c:ptCount val="13"/>
                <c:pt idx="0">
                  <c:v> JUN 2008</c:v>
                </c:pt>
                <c:pt idx="1">
                  <c:v> JUN 2009</c:v>
                </c:pt>
                <c:pt idx="2">
                  <c:v> JUN 2010      10 AÑOS</c:v>
                </c:pt>
                <c:pt idx="3">
                  <c:v> JUN 2011</c:v>
                </c:pt>
                <c:pt idx="4">
                  <c:v> JUN 2012</c:v>
                </c:pt>
                <c:pt idx="5">
                  <c:v> JUN 2013</c:v>
                </c:pt>
                <c:pt idx="6">
                  <c:v> JUN 2014</c:v>
                </c:pt>
                <c:pt idx="7">
                  <c:v> JUN 2015       5 AÑOS</c:v>
                </c:pt>
                <c:pt idx="8">
                  <c:v> JUN 2016</c:v>
                </c:pt>
                <c:pt idx="9">
                  <c:v> JUN 2017</c:v>
                </c:pt>
                <c:pt idx="10">
                  <c:v> JUN 2018</c:v>
                </c:pt>
                <c:pt idx="11">
                  <c:v> JUN 2019</c:v>
                </c:pt>
                <c:pt idx="12">
                  <c:v> JUN 2020</c:v>
                </c:pt>
              </c:strCache>
            </c:strRef>
          </c:cat>
          <c:val>
            <c:numRef>
              <c:f>Hoja4!$B$24:$B$36</c:f>
              <c:numCache>
                <c:formatCode>0.0%</c:formatCode>
                <c:ptCount val="13"/>
                <c:pt idx="0">
                  <c:v>4.3006519458870664E-2</c:v>
                </c:pt>
                <c:pt idx="1">
                  <c:v>4.6231713913136914E-2</c:v>
                </c:pt>
                <c:pt idx="2">
                  <c:v>4.5128520775989833E-2</c:v>
                </c:pt>
                <c:pt idx="3">
                  <c:v>4.6954223538445389E-2</c:v>
                </c:pt>
                <c:pt idx="4">
                  <c:v>4.986755325684223E-2</c:v>
                </c:pt>
                <c:pt idx="5">
                  <c:v>5.3243408314866798E-2</c:v>
                </c:pt>
                <c:pt idx="6">
                  <c:v>5.6380217650728932E-2</c:v>
                </c:pt>
                <c:pt idx="7">
                  <c:v>5.9419368699980303E-2</c:v>
                </c:pt>
                <c:pt idx="8">
                  <c:v>6.5644179501007413E-2</c:v>
                </c:pt>
                <c:pt idx="9">
                  <c:v>6.6621567346835664E-2</c:v>
                </c:pt>
                <c:pt idx="10">
                  <c:v>7.4340617826115923E-2</c:v>
                </c:pt>
                <c:pt idx="11">
                  <c:v>7.3657568917162602E-2</c:v>
                </c:pt>
                <c:pt idx="12">
                  <c:v>7.5456038106923126E-2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A73-4E0E-89AA-80ADA3381C12}"/>
            </c:ext>
          </c:extLst>
        </c:ser>
        <c:ser>
          <c:idx val="1"/>
          <c:order val="1"/>
          <c:tx>
            <c:strRef>
              <c:f>Hoja4!$C$23</c:f>
              <c:strCache>
                <c:ptCount val="1"/>
                <c:pt idx="0">
                  <c:v>Cartagena</c:v>
                </c:pt>
              </c:strCache>
            </c:strRef>
          </c:tx>
          <c:spPr>
            <a:ln w="31750" cap="rnd">
              <a:solidFill>
                <a:schemeClr val="accent1">
                  <a:lumMod val="40000"/>
                  <a:lumOff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40000"/>
                  <a:lumOff val="60000"/>
                </a:schemeClr>
              </a:solidFill>
              <a:ln w="12700">
                <a:solidFill>
                  <a:schemeClr val="accent1">
                    <a:lumMod val="40000"/>
                    <a:lumOff val="60000"/>
                  </a:schemeClr>
                </a:solidFill>
              </a:ln>
              <a:effectLst/>
            </c:spPr>
          </c:marker>
          <c:dLbls>
            <c:dLbl>
              <c:idx val="12"/>
              <c:layout>
                <c:manualLayout>
                  <c:x val="0"/>
                  <c:y val="-1.97482103184398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A73-4E0E-89AA-80ADA3381C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Hoja4!$A$24:$A$36</c:f>
              <c:strCache>
                <c:ptCount val="13"/>
                <c:pt idx="0">
                  <c:v> JUN 2008</c:v>
                </c:pt>
                <c:pt idx="1">
                  <c:v> JUN 2009</c:v>
                </c:pt>
                <c:pt idx="2">
                  <c:v> JUN 2010      10 AÑOS</c:v>
                </c:pt>
                <c:pt idx="3">
                  <c:v> JUN 2011</c:v>
                </c:pt>
                <c:pt idx="4">
                  <c:v> JUN 2012</c:v>
                </c:pt>
                <c:pt idx="5">
                  <c:v> JUN 2013</c:v>
                </c:pt>
                <c:pt idx="6">
                  <c:v> JUN 2014</c:v>
                </c:pt>
                <c:pt idx="7">
                  <c:v> JUN 2015       5 AÑOS</c:v>
                </c:pt>
                <c:pt idx="8">
                  <c:v> JUN 2016</c:v>
                </c:pt>
                <c:pt idx="9">
                  <c:v> JUN 2017</c:v>
                </c:pt>
                <c:pt idx="10">
                  <c:v> JUN 2018</c:v>
                </c:pt>
                <c:pt idx="11">
                  <c:v> JUN 2019</c:v>
                </c:pt>
                <c:pt idx="12">
                  <c:v> JUN 2020</c:v>
                </c:pt>
              </c:strCache>
            </c:strRef>
          </c:cat>
          <c:val>
            <c:numRef>
              <c:f>Hoja4!$C$24:$C$36</c:f>
              <c:numCache>
                <c:formatCode>0.0%</c:formatCode>
                <c:ptCount val="13"/>
                <c:pt idx="0">
                  <c:v>4.3618613345214136E-2</c:v>
                </c:pt>
                <c:pt idx="1">
                  <c:v>4.6449946344837657E-2</c:v>
                </c:pt>
                <c:pt idx="2">
                  <c:v>4.6535267545262694E-2</c:v>
                </c:pt>
                <c:pt idx="3">
                  <c:v>4.6267617984883415E-2</c:v>
                </c:pt>
                <c:pt idx="4">
                  <c:v>4.4234720662303495E-2</c:v>
                </c:pt>
                <c:pt idx="5">
                  <c:v>4.7260766937798869E-2</c:v>
                </c:pt>
                <c:pt idx="6">
                  <c:v>4.8952547112435796E-2</c:v>
                </c:pt>
                <c:pt idx="7">
                  <c:v>5.2034968235313908E-2</c:v>
                </c:pt>
                <c:pt idx="8">
                  <c:v>5.5054377541443926E-2</c:v>
                </c:pt>
                <c:pt idx="9">
                  <c:v>5.8576693682994278E-2</c:v>
                </c:pt>
                <c:pt idx="10">
                  <c:v>5.9947243423421281E-2</c:v>
                </c:pt>
                <c:pt idx="11">
                  <c:v>6.1982604292723759E-2</c:v>
                </c:pt>
                <c:pt idx="12">
                  <c:v>6.7900159858185219E-2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A73-4E0E-89AA-80ADA3381C12}"/>
            </c:ext>
          </c:extLst>
        </c:ser>
        <c:ser>
          <c:idx val="2"/>
          <c:order val="2"/>
          <c:tx>
            <c:strRef>
              <c:f>Hoja4!$E$23</c:f>
              <c:strCache>
                <c:ptCount val="1"/>
                <c:pt idx="0">
                  <c:v>Torrevieja</c:v>
                </c:pt>
              </c:strCache>
            </c:strRef>
          </c:tx>
          <c:spPr>
            <a:ln w="31750" cap="rnd">
              <a:solidFill>
                <a:srgbClr val="00B0F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B0F0"/>
              </a:solidFill>
              <a:ln w="12700">
                <a:solidFill>
                  <a:srgbClr val="00B0F0"/>
                </a:solidFill>
              </a:ln>
              <a:effectLst/>
            </c:spPr>
          </c:marker>
          <c:dLbls>
            <c:dLbl>
              <c:idx val="12"/>
              <c:layout>
                <c:manualLayout>
                  <c:x val="2.1822149481723948E-3"/>
                  <c:y val="3.9496420636879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A73-4E0E-89AA-80ADA3381C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Hoja4!$A$24:$A$36</c:f>
              <c:strCache>
                <c:ptCount val="13"/>
                <c:pt idx="0">
                  <c:v> JUN 2008</c:v>
                </c:pt>
                <c:pt idx="1">
                  <c:v> JUN 2009</c:v>
                </c:pt>
                <c:pt idx="2">
                  <c:v> JUN 2010      10 AÑOS</c:v>
                </c:pt>
                <c:pt idx="3">
                  <c:v> JUN 2011</c:v>
                </c:pt>
                <c:pt idx="4">
                  <c:v> JUN 2012</c:v>
                </c:pt>
                <c:pt idx="5">
                  <c:v> JUN 2013</c:v>
                </c:pt>
                <c:pt idx="6">
                  <c:v> JUN 2014</c:v>
                </c:pt>
                <c:pt idx="7">
                  <c:v> JUN 2015       5 AÑOS</c:v>
                </c:pt>
                <c:pt idx="8">
                  <c:v> JUN 2016</c:v>
                </c:pt>
                <c:pt idx="9">
                  <c:v> JUN 2017</c:v>
                </c:pt>
                <c:pt idx="10">
                  <c:v> JUN 2018</c:v>
                </c:pt>
                <c:pt idx="11">
                  <c:v> JUN 2019</c:v>
                </c:pt>
                <c:pt idx="12">
                  <c:v> JUN 2020</c:v>
                </c:pt>
              </c:strCache>
            </c:strRef>
          </c:cat>
          <c:val>
            <c:numRef>
              <c:f>Hoja4!$E$24:$E$36</c:f>
              <c:numCache>
                <c:formatCode>0.0%</c:formatCode>
                <c:ptCount val="13"/>
                <c:pt idx="0">
                  <c:v>4.6688614179525148E-2</c:v>
                </c:pt>
                <c:pt idx="1">
                  <c:v>4.9094265044782003E-2</c:v>
                </c:pt>
                <c:pt idx="2">
                  <c:v>4.8717290830636625E-2</c:v>
                </c:pt>
                <c:pt idx="3">
                  <c:v>5.3699427399684273E-2</c:v>
                </c:pt>
                <c:pt idx="4">
                  <c:v>5.2650083715534174E-2</c:v>
                </c:pt>
                <c:pt idx="5">
                  <c:v>5.6647300686551279E-2</c:v>
                </c:pt>
                <c:pt idx="6">
                  <c:v>5.6606538527436169E-2</c:v>
                </c:pt>
                <c:pt idx="7">
                  <c:v>6.3981879509465836E-2</c:v>
                </c:pt>
                <c:pt idx="8">
                  <c:v>7.0209409984483398E-2</c:v>
                </c:pt>
                <c:pt idx="9">
                  <c:v>6.7690641080202743E-2</c:v>
                </c:pt>
                <c:pt idx="10">
                  <c:v>6.754874771702972E-2</c:v>
                </c:pt>
                <c:pt idx="11">
                  <c:v>6.1792661356293778E-2</c:v>
                </c:pt>
                <c:pt idx="12">
                  <c:v>6.2887323462492414E-2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AA73-4E0E-89AA-80ADA3381C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3230816"/>
        <c:axId val="544434736"/>
      </c:lineChart>
      <c:catAx>
        <c:axId val="135323081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noFill/>
          <a:ln w="9525" cap="sq" cmpd="dbl" algn="ctr">
            <a:solidFill>
              <a:schemeClr val="tx1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544434736"/>
        <c:crosses val="autoZero"/>
        <c:auto val="1"/>
        <c:lblAlgn val="ctr"/>
        <c:lblOffset val="100"/>
        <c:noMultiLvlLbl val="0"/>
      </c:catAx>
      <c:valAx>
        <c:axId val="544434736"/>
        <c:scaling>
          <c:orientation val="minMax"/>
          <c:max val="8.0000000000000016E-2"/>
          <c:min val="2.0000000000000004E-2"/>
        </c:scaling>
        <c:delete val="0"/>
        <c:axPos val="l"/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353230816"/>
        <c:crosses val="autoZero"/>
        <c:crossBetween val="midCat"/>
        <c:majorUnit val="1.0000000000000002E-2"/>
        <c:minorUnit val="5.000000000000001E-3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468868080122604"/>
          <c:y val="0.90362003471610775"/>
          <c:w val="0.48352372610717553"/>
          <c:h val="9.24664006040340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9EA27-4809-487F-92D0-0C5F83F2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1194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Urrea Rodriguez</dc:creator>
  <cp:lastModifiedBy>Anaïs López García</cp:lastModifiedBy>
  <cp:revision>18</cp:revision>
  <cp:lastPrinted>2019-04-25T06:52:00Z</cp:lastPrinted>
  <dcterms:created xsi:type="dcterms:W3CDTF">2020-06-21T11:26:00Z</dcterms:created>
  <dcterms:modified xsi:type="dcterms:W3CDTF">2020-06-29T12:34:00Z</dcterms:modified>
</cp:coreProperties>
</file>