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3754" w14:textId="77777777" w:rsidR="00C15353" w:rsidRDefault="00C15353" w:rsidP="00C15353">
      <w:pPr>
        <w:ind w:right="-574"/>
      </w:pPr>
      <w:r>
        <w:rPr>
          <w:rFonts w:ascii="National" w:hAnsi="National"/>
          <w:noProof/>
          <w:color w:val="303AB2"/>
          <w:sz w:val="36"/>
          <w:szCs w:val="36"/>
          <w:lang w:val="es-ES" w:eastAsia="es-ES" w:bidi="ks-Deva"/>
        </w:rPr>
        <w:drawing>
          <wp:anchor distT="0" distB="0" distL="114300" distR="114300" simplePos="0" relativeHeight="251659264" behindDoc="0" locked="0" layoutInCell="1" allowOverlap="1" wp14:anchorId="773B1530" wp14:editId="30A8DB2F">
            <wp:simplePos x="0" y="0"/>
            <wp:positionH relativeFrom="page">
              <wp:align>left</wp:align>
            </wp:positionH>
            <wp:positionV relativeFrom="paragraph">
              <wp:posOffset>-447675</wp:posOffset>
            </wp:positionV>
            <wp:extent cx="7581265" cy="1019175"/>
            <wp:effectExtent l="0" t="0" r="63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0327755D" w14:textId="77777777" w:rsidR="00C15353" w:rsidRDefault="00C15353" w:rsidP="00C15353">
      <w:pPr>
        <w:ind w:right="-574"/>
        <w:jc w:val="right"/>
        <w:rPr>
          <w:rFonts w:ascii="National" w:hAnsi="National"/>
          <w:color w:val="303AB2"/>
          <w:sz w:val="36"/>
          <w:szCs w:val="36"/>
        </w:rPr>
      </w:pPr>
    </w:p>
    <w:p w14:paraId="1BCE1281" w14:textId="77777777" w:rsidR="00C15353" w:rsidRDefault="00C15353" w:rsidP="00C15353">
      <w:pPr>
        <w:ind w:right="-574"/>
        <w:jc w:val="right"/>
        <w:rPr>
          <w:rFonts w:ascii="National" w:hAnsi="National"/>
          <w:color w:val="303AB2"/>
          <w:sz w:val="36"/>
          <w:szCs w:val="36"/>
        </w:rPr>
      </w:pPr>
    </w:p>
    <w:p w14:paraId="4BA8AEAA" w14:textId="77777777" w:rsidR="00C15353" w:rsidRPr="00CF3B5B" w:rsidRDefault="00C15353" w:rsidP="00C15353">
      <w:pPr>
        <w:ind w:right="-574"/>
        <w:rPr>
          <w:rFonts w:ascii="National" w:hAnsi="National"/>
          <w:color w:val="303AB2"/>
          <w:sz w:val="16"/>
          <w:szCs w:val="16"/>
        </w:rPr>
      </w:pPr>
    </w:p>
    <w:p w14:paraId="21418B66" w14:textId="77777777" w:rsidR="00C15353" w:rsidRDefault="00C15353" w:rsidP="00C15353">
      <w:pPr>
        <w:spacing w:line="276" w:lineRule="auto"/>
        <w:ind w:right="-574"/>
        <w:jc w:val="center"/>
        <w:rPr>
          <w:rFonts w:ascii="National" w:hAnsi="National"/>
          <w:b/>
          <w:bCs/>
          <w:iCs/>
          <w:color w:val="1DBDC5"/>
          <w:sz w:val="36"/>
          <w:szCs w:val="36"/>
          <w:lang w:val="es-ES"/>
        </w:rPr>
      </w:pPr>
      <w:r>
        <w:rPr>
          <w:rFonts w:ascii="National" w:hAnsi="National"/>
          <w:b/>
          <w:bCs/>
          <w:iCs/>
          <w:color w:val="1DBDC5"/>
          <w:sz w:val="36"/>
          <w:szCs w:val="36"/>
          <w:lang w:val="es-ES"/>
        </w:rPr>
        <w:t>PRIMER</w:t>
      </w:r>
      <w:r w:rsidRPr="00C8165D">
        <w:rPr>
          <w:rFonts w:ascii="National" w:hAnsi="National"/>
          <w:b/>
          <w:bCs/>
          <w:iCs/>
          <w:color w:val="1DBDC5"/>
          <w:sz w:val="36"/>
          <w:szCs w:val="36"/>
          <w:lang w:val="es-ES"/>
        </w:rPr>
        <w:t xml:space="preserve"> </w:t>
      </w:r>
      <w:r>
        <w:rPr>
          <w:rFonts w:ascii="National" w:hAnsi="National"/>
          <w:b/>
          <w:bCs/>
          <w:iCs/>
          <w:color w:val="1DBDC5"/>
          <w:sz w:val="36"/>
          <w:szCs w:val="36"/>
          <w:lang w:val="es-ES"/>
        </w:rPr>
        <w:t>SEMESTRE</w:t>
      </w:r>
      <w:r w:rsidRPr="00C8165D">
        <w:rPr>
          <w:rFonts w:ascii="National" w:hAnsi="National"/>
          <w:b/>
          <w:bCs/>
          <w:iCs/>
          <w:color w:val="1DBDC5"/>
          <w:sz w:val="36"/>
          <w:szCs w:val="36"/>
          <w:lang w:val="es-ES"/>
        </w:rPr>
        <w:t xml:space="preserve"> 201</w:t>
      </w:r>
      <w:r>
        <w:rPr>
          <w:rFonts w:ascii="National" w:hAnsi="National"/>
          <w:b/>
          <w:bCs/>
          <w:iCs/>
          <w:color w:val="1DBDC5"/>
          <w:sz w:val="36"/>
          <w:szCs w:val="36"/>
          <w:lang w:val="es-ES"/>
        </w:rPr>
        <w:t>9</w:t>
      </w:r>
      <w:r w:rsidRPr="00C8165D">
        <w:rPr>
          <w:rFonts w:ascii="National" w:hAnsi="National"/>
          <w:b/>
          <w:bCs/>
          <w:iCs/>
          <w:color w:val="1DBDC5"/>
          <w:sz w:val="36"/>
          <w:szCs w:val="36"/>
          <w:lang w:val="es-ES"/>
        </w:rPr>
        <w:t xml:space="preserve">: </w:t>
      </w:r>
      <w:r w:rsidRPr="005B04FD">
        <w:rPr>
          <w:rFonts w:ascii="National" w:hAnsi="National"/>
          <w:b/>
          <w:bCs/>
          <w:iCs/>
          <w:color w:val="1DBDC5"/>
          <w:sz w:val="36"/>
          <w:szCs w:val="36"/>
          <w:lang w:val="es-ES"/>
        </w:rPr>
        <w:t>PRE</w:t>
      </w:r>
      <w:r w:rsidRPr="00C8165D">
        <w:rPr>
          <w:rFonts w:ascii="National" w:hAnsi="National"/>
          <w:b/>
          <w:bCs/>
          <w:iCs/>
          <w:color w:val="1DBDC5"/>
          <w:sz w:val="36"/>
          <w:szCs w:val="36"/>
          <w:lang w:val="es-ES"/>
        </w:rPr>
        <w:t>CIO VIVI</w:t>
      </w:r>
      <w:r w:rsidRPr="005B04FD">
        <w:rPr>
          <w:rFonts w:ascii="National" w:hAnsi="National"/>
          <w:b/>
          <w:bCs/>
          <w:iCs/>
          <w:color w:val="1DBDC5"/>
          <w:sz w:val="36"/>
          <w:szCs w:val="36"/>
          <w:lang w:val="es-ES"/>
        </w:rPr>
        <w:t>EN</w:t>
      </w:r>
      <w:r w:rsidRPr="00C8165D">
        <w:rPr>
          <w:rFonts w:ascii="National" w:hAnsi="National"/>
          <w:b/>
          <w:bCs/>
          <w:iCs/>
          <w:color w:val="1DBDC5"/>
          <w:sz w:val="36"/>
          <w:szCs w:val="36"/>
          <w:lang w:val="es-ES"/>
        </w:rPr>
        <w:t>DA EN VENTA</w:t>
      </w:r>
    </w:p>
    <w:p w14:paraId="6A8D8126" w14:textId="392770D0" w:rsidR="00C15353" w:rsidRDefault="00C15353" w:rsidP="00C15353">
      <w:pPr>
        <w:spacing w:line="276" w:lineRule="auto"/>
        <w:ind w:right="-574"/>
        <w:jc w:val="center"/>
        <w:rPr>
          <w:rFonts w:ascii="National" w:hAnsi="National"/>
          <w:b/>
          <w:bCs/>
          <w:iCs/>
          <w:color w:val="303AB2"/>
          <w:sz w:val="50"/>
          <w:szCs w:val="144"/>
          <w:lang w:val="es-ES"/>
        </w:rPr>
      </w:pPr>
      <w:r w:rsidRPr="00753088">
        <w:rPr>
          <w:rFonts w:ascii="National" w:hAnsi="National"/>
          <w:b/>
          <w:bCs/>
          <w:iCs/>
          <w:color w:val="303AB2"/>
          <w:sz w:val="50"/>
          <w:szCs w:val="144"/>
          <w:lang w:val="es-ES"/>
        </w:rPr>
        <w:t xml:space="preserve">El precio de la vivienda en </w:t>
      </w:r>
      <w:r>
        <w:rPr>
          <w:rFonts w:ascii="National" w:hAnsi="National"/>
          <w:b/>
          <w:bCs/>
          <w:iCs/>
          <w:color w:val="303AB2"/>
          <w:sz w:val="50"/>
          <w:szCs w:val="144"/>
          <w:lang w:val="es-ES"/>
        </w:rPr>
        <w:t xml:space="preserve">el primer semestre sube un </w:t>
      </w:r>
      <w:r w:rsidR="00911D2E">
        <w:rPr>
          <w:rFonts w:ascii="National" w:hAnsi="National"/>
          <w:b/>
          <w:bCs/>
          <w:iCs/>
          <w:color w:val="303AB2"/>
          <w:sz w:val="50"/>
          <w:szCs w:val="144"/>
          <w:lang w:val="es-ES"/>
        </w:rPr>
        <w:t>2,2</w:t>
      </w:r>
      <w:r w:rsidRPr="00753088">
        <w:rPr>
          <w:rFonts w:ascii="National" w:hAnsi="National"/>
          <w:b/>
          <w:bCs/>
          <w:iCs/>
          <w:color w:val="303AB2"/>
          <w:sz w:val="50"/>
          <w:szCs w:val="144"/>
          <w:lang w:val="es-ES"/>
        </w:rPr>
        <w:t>% e</w:t>
      </w:r>
      <w:r w:rsidRPr="00C0175D">
        <w:rPr>
          <w:rFonts w:ascii="National" w:hAnsi="National"/>
          <w:b/>
          <w:bCs/>
          <w:iCs/>
          <w:color w:val="303AB2"/>
          <w:sz w:val="50"/>
          <w:szCs w:val="144"/>
          <w:lang w:val="es-ES"/>
        </w:rPr>
        <w:t>n</w:t>
      </w:r>
      <w:r w:rsidRPr="00753088">
        <w:rPr>
          <w:rFonts w:ascii="National" w:hAnsi="National"/>
          <w:b/>
          <w:bCs/>
          <w:iCs/>
          <w:color w:val="303AB2"/>
          <w:sz w:val="50"/>
          <w:szCs w:val="144"/>
          <w:lang w:val="es-ES"/>
        </w:rPr>
        <w:t xml:space="preserve"> </w:t>
      </w:r>
      <w:r w:rsidR="00911D2E">
        <w:rPr>
          <w:rFonts w:ascii="National" w:hAnsi="National"/>
          <w:b/>
          <w:bCs/>
          <w:iCs/>
          <w:color w:val="303AB2"/>
          <w:sz w:val="50"/>
          <w:szCs w:val="144"/>
          <w:lang w:val="es-ES"/>
        </w:rPr>
        <w:t>España</w:t>
      </w:r>
    </w:p>
    <w:p w14:paraId="51A07861" w14:textId="77777777" w:rsidR="00C15353" w:rsidRPr="00C15353" w:rsidRDefault="00C15353" w:rsidP="00C15353">
      <w:pPr>
        <w:ind w:right="-574"/>
        <w:rPr>
          <w:rFonts w:ascii="National" w:hAnsi="National"/>
          <w:b/>
          <w:bCs/>
          <w:iCs/>
          <w:color w:val="303AB2"/>
          <w:sz w:val="16"/>
          <w:szCs w:val="10"/>
          <w:lang w:val="es-ES"/>
        </w:rPr>
      </w:pPr>
    </w:p>
    <w:p w14:paraId="0F97091C" w14:textId="77777777" w:rsidR="0098295A" w:rsidRPr="0098295A" w:rsidRDefault="00C15353" w:rsidP="00C05223">
      <w:pPr>
        <w:pStyle w:val="Prrafodelista"/>
        <w:numPr>
          <w:ilvl w:val="0"/>
          <w:numId w:val="6"/>
        </w:numPr>
        <w:spacing w:line="276" w:lineRule="auto"/>
        <w:ind w:right="-574"/>
        <w:jc w:val="both"/>
        <w:rPr>
          <w:rFonts w:ascii="Open Sans" w:eastAsia="Times New Roman" w:hAnsi="Open Sans" w:cs="Open Sans"/>
          <w:color w:val="303AB2"/>
          <w:lang w:val="es-ES" w:eastAsia="es-ES_tradnl"/>
        </w:rPr>
      </w:pPr>
      <w:r w:rsidRPr="00B41B8C">
        <w:rPr>
          <w:rFonts w:ascii="Open Sans" w:hAnsi="Open Sans" w:cs="Open Sans"/>
          <w:color w:val="303AB2"/>
        </w:rPr>
        <w:t>En</w:t>
      </w:r>
      <w:r w:rsidR="0098295A">
        <w:rPr>
          <w:rFonts w:ascii="Open Sans" w:hAnsi="Open Sans" w:cs="Open Sans"/>
          <w:color w:val="303AB2"/>
        </w:rPr>
        <w:t xml:space="preserve"> seis</w:t>
      </w:r>
      <w:r w:rsidRPr="00B41B8C">
        <w:rPr>
          <w:rFonts w:ascii="Open Sans" w:hAnsi="Open Sans" w:cs="Open Sans"/>
          <w:color w:val="303AB2"/>
        </w:rPr>
        <w:t xml:space="preserve"> meses </w:t>
      </w:r>
      <w:r w:rsidRPr="00B26924">
        <w:rPr>
          <w:rFonts w:ascii="Open Sans" w:hAnsi="Open Sans" w:cs="Open Sans"/>
          <w:color w:val="303AB2"/>
        </w:rPr>
        <w:t>la vivienda</w:t>
      </w:r>
      <w:r w:rsidR="009E295E">
        <w:rPr>
          <w:rFonts w:ascii="Open Sans" w:hAnsi="Open Sans" w:cs="Open Sans"/>
          <w:color w:val="303AB2"/>
        </w:rPr>
        <w:t xml:space="preserve"> en </w:t>
      </w:r>
      <w:r w:rsidR="00911D2E">
        <w:rPr>
          <w:rFonts w:ascii="Open Sans" w:hAnsi="Open Sans" w:cs="Open Sans"/>
          <w:color w:val="303AB2"/>
        </w:rPr>
        <w:t>España</w:t>
      </w:r>
      <w:r w:rsidR="00DC2883">
        <w:rPr>
          <w:rFonts w:ascii="Open Sans" w:hAnsi="Open Sans" w:cs="Open Sans"/>
          <w:color w:val="303AB2"/>
        </w:rPr>
        <w:t xml:space="preserve"> </w:t>
      </w:r>
      <w:r w:rsidRPr="00B26924">
        <w:rPr>
          <w:rFonts w:ascii="Open Sans" w:hAnsi="Open Sans" w:cs="Open Sans"/>
          <w:color w:val="303AB2"/>
        </w:rPr>
        <w:t xml:space="preserve">ha </w:t>
      </w:r>
      <w:r w:rsidR="009E295E">
        <w:rPr>
          <w:rFonts w:ascii="Open Sans" w:hAnsi="Open Sans" w:cs="Open Sans"/>
          <w:color w:val="303AB2"/>
        </w:rPr>
        <w:t xml:space="preserve">incrementado su valor con </w:t>
      </w:r>
      <w:r w:rsidRPr="00B26924">
        <w:rPr>
          <w:rFonts w:ascii="Open Sans" w:hAnsi="Open Sans" w:cs="Open Sans"/>
          <w:color w:val="303AB2"/>
        </w:rPr>
        <w:t>un</w:t>
      </w:r>
      <w:r w:rsidR="009E295E">
        <w:rPr>
          <w:rFonts w:ascii="Open Sans" w:hAnsi="Open Sans" w:cs="Open Sans"/>
          <w:color w:val="303AB2"/>
        </w:rPr>
        <w:t>a subida de un</w:t>
      </w:r>
      <w:r w:rsidRPr="00B26924">
        <w:rPr>
          <w:rFonts w:ascii="Open Sans" w:hAnsi="Open Sans" w:cs="Open Sans"/>
          <w:color w:val="303AB2"/>
        </w:rPr>
        <w:t xml:space="preserve"> </w:t>
      </w:r>
      <w:r w:rsidR="00911D2E">
        <w:rPr>
          <w:rFonts w:ascii="Open Sans" w:hAnsi="Open Sans" w:cs="Open Sans"/>
          <w:color w:val="303AB2"/>
        </w:rPr>
        <w:t>2,2</w:t>
      </w:r>
      <w:r w:rsidRPr="00B26924">
        <w:rPr>
          <w:rFonts w:ascii="Open Sans" w:hAnsi="Open Sans" w:cs="Open Sans"/>
          <w:color w:val="303AB2"/>
        </w:rPr>
        <w:t xml:space="preserve">%, unos </w:t>
      </w:r>
      <w:r w:rsidR="00911D2E">
        <w:rPr>
          <w:rFonts w:ascii="Open Sans" w:hAnsi="Open Sans" w:cs="Open Sans"/>
          <w:color w:val="303AB2"/>
        </w:rPr>
        <w:t>41</w:t>
      </w:r>
      <w:r w:rsidRPr="00B26924">
        <w:rPr>
          <w:rFonts w:ascii="Open Sans" w:hAnsi="Open Sans" w:cs="Open Sans"/>
          <w:color w:val="303AB2"/>
        </w:rPr>
        <w:t xml:space="preserve"> euros más por metro cuadrado,</w:t>
      </w:r>
      <w:r w:rsidRPr="00B41B8C">
        <w:rPr>
          <w:rFonts w:ascii="Open Sans" w:hAnsi="Open Sans" w:cs="Open Sans"/>
          <w:color w:val="303AB2"/>
        </w:rPr>
        <w:t xml:space="preserve"> </w:t>
      </w:r>
    </w:p>
    <w:p w14:paraId="1436F875" w14:textId="00C19B6A" w:rsidR="00C05223" w:rsidRPr="00B41B8C" w:rsidRDefault="0098295A" w:rsidP="00C05223">
      <w:pPr>
        <w:pStyle w:val="Prrafodelista"/>
        <w:numPr>
          <w:ilvl w:val="0"/>
          <w:numId w:val="6"/>
        </w:numPr>
        <w:spacing w:line="276" w:lineRule="auto"/>
        <w:ind w:right="-574"/>
        <w:jc w:val="both"/>
        <w:rPr>
          <w:rFonts w:ascii="Open Sans" w:eastAsia="Times New Roman" w:hAnsi="Open Sans" w:cs="Open Sans"/>
          <w:color w:val="303AB2"/>
          <w:lang w:val="es-ES" w:eastAsia="es-ES_tradnl"/>
        </w:rPr>
      </w:pPr>
      <w:r>
        <w:rPr>
          <w:rFonts w:ascii="Open Sans" w:hAnsi="Open Sans" w:cs="Open Sans"/>
          <w:color w:val="303AB2"/>
        </w:rPr>
        <w:t>M</w:t>
      </w:r>
      <w:r w:rsidR="00C15353" w:rsidRPr="00B41B8C">
        <w:rPr>
          <w:rFonts w:ascii="Open Sans" w:hAnsi="Open Sans" w:cs="Open Sans"/>
          <w:color w:val="303AB2"/>
        </w:rPr>
        <w:t>ientras</w:t>
      </w:r>
      <w:r w:rsidR="00CC63FC" w:rsidRPr="00B41B8C">
        <w:rPr>
          <w:rFonts w:ascii="Open Sans" w:hAnsi="Open Sans" w:cs="Open Sans"/>
          <w:color w:val="303AB2"/>
        </w:rPr>
        <w:t xml:space="preserve"> que</w:t>
      </w:r>
      <w:r w:rsidR="00C15353" w:rsidRPr="00B41B8C">
        <w:rPr>
          <w:rFonts w:ascii="Open Sans" w:hAnsi="Open Sans" w:cs="Open Sans"/>
          <w:color w:val="303AB2"/>
        </w:rPr>
        <w:t xml:space="preserve"> en </w:t>
      </w:r>
      <w:r w:rsidR="00911D2E">
        <w:rPr>
          <w:rFonts w:ascii="Open Sans" w:hAnsi="Open Sans" w:cs="Open Sans"/>
          <w:color w:val="303AB2"/>
        </w:rPr>
        <w:t>Madrid</w:t>
      </w:r>
      <w:r w:rsidR="00C15353" w:rsidRPr="00B41B8C">
        <w:rPr>
          <w:rFonts w:ascii="Open Sans" w:hAnsi="Open Sans" w:cs="Open Sans"/>
          <w:color w:val="303AB2"/>
        </w:rPr>
        <w:t xml:space="preserve"> </w:t>
      </w:r>
      <w:r>
        <w:rPr>
          <w:rFonts w:ascii="Open Sans" w:hAnsi="Open Sans" w:cs="Open Sans"/>
          <w:color w:val="303AB2"/>
        </w:rPr>
        <w:t xml:space="preserve">el precio se ha incrementado un </w:t>
      </w:r>
      <w:r w:rsidR="00911D2E">
        <w:rPr>
          <w:rFonts w:ascii="Open Sans" w:hAnsi="Open Sans" w:cs="Open Sans"/>
          <w:color w:val="303AB2"/>
        </w:rPr>
        <w:t>5</w:t>
      </w:r>
      <w:r w:rsidR="00C15353" w:rsidRPr="00B41B8C">
        <w:rPr>
          <w:rFonts w:ascii="Open Sans" w:hAnsi="Open Sans" w:cs="Open Sans"/>
          <w:color w:val="303AB2"/>
        </w:rPr>
        <w:t>,2%</w:t>
      </w:r>
      <w:r>
        <w:rPr>
          <w:rFonts w:ascii="Open Sans" w:hAnsi="Open Sans" w:cs="Open Sans"/>
          <w:color w:val="303AB2"/>
        </w:rPr>
        <w:t xml:space="preserve"> en el primer semestre, en Cataluña se ha incrementado un</w:t>
      </w:r>
      <w:r w:rsidR="00610917">
        <w:rPr>
          <w:rFonts w:ascii="Open Sans" w:hAnsi="Open Sans" w:cs="Open Sans"/>
          <w:color w:val="303AB2"/>
        </w:rPr>
        <w:t xml:space="preserve"> </w:t>
      </w:r>
      <w:r w:rsidR="00911D2E">
        <w:rPr>
          <w:rFonts w:ascii="Open Sans" w:hAnsi="Open Sans" w:cs="Open Sans"/>
          <w:color w:val="303AB2"/>
        </w:rPr>
        <w:t>0,1%</w:t>
      </w:r>
      <w:r>
        <w:rPr>
          <w:rFonts w:ascii="Open Sans" w:hAnsi="Open Sans" w:cs="Open Sans"/>
          <w:color w:val="303AB2"/>
        </w:rPr>
        <w:t xml:space="preserve">, es decir, </w:t>
      </w:r>
      <w:r w:rsidR="00C15353" w:rsidRPr="00B41B8C">
        <w:rPr>
          <w:rFonts w:ascii="Open Sans" w:hAnsi="Open Sans" w:cs="Open Sans"/>
          <w:color w:val="303AB2"/>
        </w:rPr>
        <w:t>se paga</w:t>
      </w:r>
      <w:r w:rsidR="00C05223" w:rsidRPr="00B41B8C">
        <w:rPr>
          <w:rFonts w:ascii="Open Sans" w:hAnsi="Open Sans" w:cs="Open Sans"/>
          <w:color w:val="303AB2"/>
        </w:rPr>
        <w:t xml:space="preserve"> de media</w:t>
      </w:r>
      <w:r w:rsidR="00C15353" w:rsidRPr="00B41B8C">
        <w:rPr>
          <w:rFonts w:ascii="Open Sans" w:hAnsi="Open Sans" w:cs="Open Sans"/>
          <w:color w:val="303AB2"/>
        </w:rPr>
        <w:t xml:space="preserve"> </w:t>
      </w:r>
      <w:r w:rsidR="00911D2E">
        <w:rPr>
          <w:rFonts w:ascii="Open Sans" w:hAnsi="Open Sans" w:cs="Open Sans"/>
          <w:color w:val="303AB2"/>
        </w:rPr>
        <w:t>151 y 2</w:t>
      </w:r>
      <w:r w:rsidR="00C15353" w:rsidRPr="00B41B8C">
        <w:rPr>
          <w:rFonts w:ascii="Open Sans" w:hAnsi="Open Sans" w:cs="Open Sans"/>
          <w:color w:val="303AB2"/>
        </w:rPr>
        <w:t xml:space="preserve"> euros más por metro cuadrado</w:t>
      </w:r>
      <w:r w:rsidR="00911D2E">
        <w:rPr>
          <w:rFonts w:ascii="Open Sans" w:hAnsi="Open Sans" w:cs="Open Sans"/>
          <w:color w:val="303AB2"/>
        </w:rPr>
        <w:t>, respectivamente</w:t>
      </w:r>
    </w:p>
    <w:p w14:paraId="70A8F967" w14:textId="59228CD3" w:rsidR="00C15353" w:rsidRPr="00810401" w:rsidRDefault="00C15353" w:rsidP="00C15353">
      <w:pPr>
        <w:pStyle w:val="Prrafodelista"/>
        <w:numPr>
          <w:ilvl w:val="0"/>
          <w:numId w:val="6"/>
        </w:numPr>
        <w:spacing w:line="276" w:lineRule="auto"/>
        <w:ind w:right="-574"/>
        <w:jc w:val="both"/>
        <w:rPr>
          <w:rFonts w:ascii="Open Sans" w:eastAsia="Times New Roman" w:hAnsi="Open Sans" w:cs="Open Sans"/>
          <w:color w:val="303AB2"/>
          <w:lang w:val="es-ES" w:eastAsia="es-ES_tradnl"/>
        </w:rPr>
      </w:pPr>
      <w:r w:rsidRPr="00B41B8C">
        <w:rPr>
          <w:rFonts w:ascii="Open Sans" w:eastAsia="Times New Roman" w:hAnsi="Open Sans" w:cs="Open Sans"/>
          <w:color w:val="303AB2"/>
          <w:lang w:val="es-ES" w:eastAsia="es-ES_tradnl"/>
        </w:rPr>
        <w:t xml:space="preserve">En la </w:t>
      </w:r>
      <w:r w:rsidR="00810401">
        <w:rPr>
          <w:rFonts w:ascii="Open Sans" w:eastAsia="Times New Roman" w:hAnsi="Open Sans" w:cs="Open Sans"/>
          <w:color w:val="303AB2"/>
          <w:lang w:val="es-ES" w:eastAsia="es-ES_tradnl"/>
        </w:rPr>
        <w:t>provincia</w:t>
      </w:r>
      <w:r w:rsidRPr="00B41B8C">
        <w:rPr>
          <w:rFonts w:ascii="Open Sans" w:eastAsia="Times New Roman" w:hAnsi="Open Sans" w:cs="Open Sans"/>
          <w:color w:val="303AB2"/>
          <w:lang w:val="es-ES" w:eastAsia="es-ES_tradnl"/>
        </w:rPr>
        <w:t xml:space="preserve"> de </w:t>
      </w:r>
      <w:r w:rsidR="00611AD3" w:rsidRPr="00611AD3">
        <w:rPr>
          <w:rFonts w:ascii="Open Sans" w:eastAsia="Times New Roman" w:hAnsi="Open Sans" w:cs="Open Sans"/>
          <w:color w:val="303AB2"/>
          <w:lang w:val="es-ES" w:eastAsia="es-ES_tradnl"/>
        </w:rPr>
        <w:t>Santa Cruz de Tenerife</w:t>
      </w:r>
      <w:r w:rsidR="00611AD3">
        <w:rPr>
          <w:rFonts w:ascii="Open Sans" w:eastAsia="Times New Roman" w:hAnsi="Open Sans" w:cs="Open Sans"/>
          <w:color w:val="303AB2"/>
          <w:lang w:val="es-ES" w:eastAsia="es-ES_tradnl"/>
        </w:rPr>
        <w:t xml:space="preserve"> </w:t>
      </w:r>
      <w:r w:rsidRPr="00B41B8C">
        <w:rPr>
          <w:rFonts w:ascii="Open Sans" w:eastAsia="Times New Roman" w:hAnsi="Open Sans" w:cs="Open Sans"/>
          <w:color w:val="303AB2"/>
          <w:lang w:val="es-ES" w:eastAsia="es-ES_tradnl"/>
        </w:rPr>
        <w:t xml:space="preserve">se está pagando por una vivienda de 80 metros </w:t>
      </w:r>
      <w:r w:rsidR="00810401">
        <w:rPr>
          <w:rFonts w:ascii="Open Sans" w:eastAsia="Times New Roman" w:hAnsi="Open Sans" w:cs="Open Sans"/>
          <w:color w:val="303AB2"/>
          <w:lang w:val="es-ES" w:eastAsia="es-ES_tradnl"/>
        </w:rPr>
        <w:t>casi</w:t>
      </w:r>
      <w:r w:rsidR="0040031E">
        <w:rPr>
          <w:rFonts w:ascii="Open Sans" w:eastAsia="Times New Roman" w:hAnsi="Open Sans" w:cs="Open Sans"/>
          <w:color w:val="303AB2"/>
          <w:lang w:val="es-ES" w:eastAsia="es-ES_tradnl"/>
        </w:rPr>
        <w:t xml:space="preserve"> </w:t>
      </w:r>
      <w:r w:rsidR="00810401">
        <w:rPr>
          <w:rFonts w:ascii="Open Sans" w:eastAsia="Times New Roman" w:hAnsi="Open Sans" w:cs="Open Sans"/>
          <w:color w:val="303AB2"/>
          <w:lang w:val="es-ES" w:eastAsia="es-ES_tradnl"/>
        </w:rPr>
        <w:t>11.000</w:t>
      </w:r>
      <w:r w:rsidRPr="00B41B8C">
        <w:rPr>
          <w:rFonts w:ascii="Open Sans" w:eastAsia="Times New Roman" w:hAnsi="Open Sans" w:cs="Open Sans"/>
          <w:color w:val="303AB2"/>
          <w:lang w:val="es-ES" w:eastAsia="es-ES_tradnl"/>
        </w:rPr>
        <w:t xml:space="preserve"> euros </w:t>
      </w:r>
      <w:r w:rsidR="0040031E">
        <w:rPr>
          <w:rFonts w:ascii="Open Sans" w:eastAsia="Times New Roman" w:hAnsi="Open Sans" w:cs="Open Sans"/>
          <w:color w:val="303AB2"/>
          <w:lang w:val="es-ES" w:eastAsia="es-ES_tradnl"/>
        </w:rPr>
        <w:t xml:space="preserve">más </w:t>
      </w:r>
      <w:r w:rsidRPr="00B41B8C">
        <w:rPr>
          <w:rFonts w:ascii="Open Sans" w:eastAsia="Times New Roman" w:hAnsi="Open Sans" w:cs="Open Sans"/>
          <w:color w:val="303AB2"/>
          <w:lang w:val="es-ES" w:eastAsia="es-ES_tradnl"/>
        </w:rPr>
        <w:t xml:space="preserve">en junio de 2019 que en </w:t>
      </w:r>
      <w:r w:rsidRPr="00B41B8C">
        <w:rPr>
          <w:rFonts w:ascii="Open Sans Light" w:hAnsi="Open Sans Light" w:cs="Open Sans Light"/>
          <w:iCs/>
          <w:color w:val="303AB2"/>
          <w:szCs w:val="20"/>
          <w:lang w:val="es-ES"/>
        </w:rPr>
        <w:t>diciembre de 2018</w:t>
      </w:r>
    </w:p>
    <w:p w14:paraId="0F8C779C" w14:textId="19D401CF" w:rsidR="00FA19E6" w:rsidRPr="00FA19E6" w:rsidRDefault="00610917" w:rsidP="00C15353">
      <w:pPr>
        <w:pStyle w:val="Prrafodelista"/>
        <w:numPr>
          <w:ilvl w:val="0"/>
          <w:numId w:val="6"/>
        </w:numPr>
        <w:spacing w:line="276" w:lineRule="auto"/>
        <w:ind w:right="-574"/>
        <w:jc w:val="both"/>
        <w:rPr>
          <w:rFonts w:ascii="Open Sans" w:eastAsia="Times New Roman" w:hAnsi="Open Sans" w:cs="Open Sans"/>
          <w:color w:val="303AB2"/>
          <w:lang w:val="es-ES" w:eastAsia="es-ES_tradnl"/>
        </w:rPr>
      </w:pPr>
      <w:r>
        <w:rPr>
          <w:rFonts w:ascii="Open Sans Light" w:hAnsi="Open Sans Light" w:cs="Open Sans Light"/>
          <w:iCs/>
          <w:color w:val="303AB2"/>
          <w:szCs w:val="20"/>
          <w:lang w:val="es-ES"/>
        </w:rPr>
        <w:t>En los últimos meses,</w:t>
      </w:r>
      <w:r w:rsidR="00810401" w:rsidRPr="00FA19E6">
        <w:rPr>
          <w:rFonts w:ascii="Open Sans Light" w:hAnsi="Open Sans Light" w:cs="Open Sans Light"/>
          <w:iCs/>
          <w:color w:val="303AB2"/>
          <w:szCs w:val="20"/>
          <w:lang w:val="es-ES"/>
        </w:rPr>
        <w:t xml:space="preserve"> </w:t>
      </w:r>
      <w:r w:rsidR="001E7E9B">
        <w:rPr>
          <w:rFonts w:ascii="Open Sans Light" w:hAnsi="Open Sans Light" w:cs="Open Sans Light"/>
          <w:iCs/>
          <w:color w:val="303AB2"/>
          <w:szCs w:val="20"/>
          <w:lang w:val="es-ES"/>
        </w:rPr>
        <w:t xml:space="preserve">la ciudad de </w:t>
      </w:r>
      <w:r w:rsidR="00810401" w:rsidRPr="00FA19E6">
        <w:rPr>
          <w:rFonts w:ascii="Open Sans Light" w:hAnsi="Open Sans Light" w:cs="Open Sans Light"/>
          <w:iCs/>
          <w:color w:val="303AB2"/>
          <w:szCs w:val="20"/>
          <w:lang w:val="es-ES"/>
        </w:rPr>
        <w:t xml:space="preserve">Ibiza ha incrementado su valor en un 8,4%, unos 416 euros por metro cuadrado </w:t>
      </w:r>
    </w:p>
    <w:p w14:paraId="61B54FE8" w14:textId="110525C1" w:rsidR="00FA19E6" w:rsidRPr="001E7E9B" w:rsidRDefault="00610917" w:rsidP="001E7E9B">
      <w:pPr>
        <w:pStyle w:val="Prrafodelista"/>
        <w:numPr>
          <w:ilvl w:val="0"/>
          <w:numId w:val="6"/>
        </w:numPr>
        <w:spacing w:line="276" w:lineRule="auto"/>
        <w:ind w:right="-574"/>
        <w:rPr>
          <w:rFonts w:ascii="Open Sans" w:eastAsia="Times New Roman" w:hAnsi="Open Sans" w:cs="Open Sans"/>
          <w:color w:val="303AB2"/>
          <w:lang w:val="es-ES" w:eastAsia="es-ES_tradnl"/>
        </w:rPr>
      </w:pPr>
      <w:r w:rsidRPr="00610917">
        <w:rPr>
          <w:rFonts w:ascii="Open Sans Light" w:hAnsi="Open Sans Light" w:cs="Open Sans Light"/>
          <w:iCs/>
          <w:color w:val="303AB2"/>
          <w:szCs w:val="20"/>
          <w:lang w:val="es-ES"/>
        </w:rPr>
        <w:t>Vicálvaro es el distrito de Madrid donde más se ha encarecido la vivienda en la primera mitad del año (7,4%), y l´Eixample en Barcelona (2,7%)</w:t>
      </w:r>
      <w:r w:rsidR="00C15353" w:rsidRPr="001E7E9B">
        <w:rPr>
          <w:rFonts w:ascii="Open Sans Light" w:hAnsi="Open Sans Light" w:cs="Open Sans Light"/>
          <w:b/>
          <w:iCs/>
          <w:color w:val="303AB2"/>
          <w:szCs w:val="20"/>
          <w:lang w:val="es-ES"/>
        </w:rPr>
        <w:br/>
      </w:r>
    </w:p>
    <w:p w14:paraId="1D74CBE5" w14:textId="73183774" w:rsidR="00C15353" w:rsidRPr="00B26924" w:rsidRDefault="00C15353" w:rsidP="00C15353">
      <w:pPr>
        <w:spacing w:line="276" w:lineRule="auto"/>
        <w:ind w:right="-574"/>
        <w:rPr>
          <w:rFonts w:ascii="Open Sans Light" w:hAnsi="Open Sans Light" w:cs="Open Sans Light"/>
          <w:bCs/>
          <w:iCs/>
          <w:color w:val="303AB2"/>
          <w:szCs w:val="20"/>
          <w:lang w:val="es-ES"/>
        </w:rPr>
      </w:pPr>
      <w:r w:rsidRPr="00B26924">
        <w:rPr>
          <w:rFonts w:ascii="Open Sans" w:eastAsia="Times New Roman" w:hAnsi="Open Sans" w:cs="Open Sans"/>
          <w:color w:val="303AB2"/>
          <w:lang w:val="es-ES" w:eastAsia="es-ES_tradnl"/>
        </w:rPr>
        <w:t xml:space="preserve">Madrid, </w:t>
      </w:r>
      <w:r w:rsidR="008D7F20">
        <w:rPr>
          <w:rFonts w:ascii="Open Sans" w:eastAsia="Times New Roman" w:hAnsi="Open Sans" w:cs="Open Sans"/>
          <w:color w:val="303AB2"/>
          <w:lang w:val="es-ES" w:eastAsia="es-ES_tradnl"/>
        </w:rPr>
        <w:t>3</w:t>
      </w:r>
      <w:r w:rsidRPr="00B26924">
        <w:rPr>
          <w:rFonts w:ascii="Open Sans" w:eastAsia="Times New Roman" w:hAnsi="Open Sans" w:cs="Open Sans"/>
          <w:color w:val="303AB2"/>
          <w:lang w:val="es-ES" w:eastAsia="es-ES_tradnl"/>
        </w:rPr>
        <w:t xml:space="preserve"> de </w:t>
      </w:r>
      <w:r w:rsidR="009E295E">
        <w:rPr>
          <w:rFonts w:ascii="Open Sans" w:eastAsia="Times New Roman" w:hAnsi="Open Sans" w:cs="Open Sans"/>
          <w:color w:val="303AB2"/>
          <w:lang w:val="es-ES" w:eastAsia="es-ES_tradnl"/>
        </w:rPr>
        <w:t>julio</w:t>
      </w:r>
      <w:r w:rsidRPr="00B26924">
        <w:rPr>
          <w:rFonts w:ascii="Open Sans" w:eastAsia="Times New Roman" w:hAnsi="Open Sans" w:cs="Open Sans"/>
          <w:color w:val="303AB2"/>
          <w:lang w:val="es-ES" w:eastAsia="es-ES_tradnl"/>
        </w:rPr>
        <w:t xml:space="preserve"> de 2019</w:t>
      </w:r>
    </w:p>
    <w:p w14:paraId="24BEE430" w14:textId="77777777" w:rsidR="00C05223" w:rsidRDefault="00C05223" w:rsidP="00C15353">
      <w:pPr>
        <w:spacing w:line="276" w:lineRule="auto"/>
        <w:ind w:right="-574"/>
        <w:rPr>
          <w:rFonts w:ascii="Open Sans Light" w:hAnsi="Open Sans Light" w:cs="Open Sans Light"/>
          <w:bCs/>
          <w:iCs/>
          <w:color w:val="303AB2"/>
          <w:szCs w:val="20"/>
          <w:lang w:val="es-ES"/>
        </w:rPr>
      </w:pPr>
    </w:p>
    <w:p w14:paraId="4D05F1AF" w14:textId="6B45CB04" w:rsidR="00C15353" w:rsidRDefault="00C15353" w:rsidP="00C15353">
      <w:pPr>
        <w:spacing w:line="276" w:lineRule="auto"/>
        <w:ind w:right="-574"/>
        <w:jc w:val="both"/>
        <w:rPr>
          <w:rFonts w:ascii="Open Sans" w:hAnsi="Open Sans" w:cs="Open Sans"/>
          <w:color w:val="000000"/>
        </w:rPr>
      </w:pPr>
      <w:r w:rsidRPr="00753088">
        <w:rPr>
          <w:rFonts w:ascii="Open Sans" w:hAnsi="Open Sans" w:cs="Open Sans"/>
          <w:color w:val="000000"/>
        </w:rPr>
        <w:t xml:space="preserve">En </w:t>
      </w:r>
      <w:r w:rsidR="00810401">
        <w:rPr>
          <w:rFonts w:ascii="Open Sans" w:hAnsi="Open Sans" w:cs="Open Sans"/>
          <w:color w:val="000000"/>
        </w:rPr>
        <w:t>España</w:t>
      </w:r>
      <w:r w:rsidR="008D7F20">
        <w:rPr>
          <w:rFonts w:ascii="Open Sans" w:hAnsi="Open Sans" w:cs="Open Sans"/>
          <w:color w:val="000000"/>
        </w:rPr>
        <w:t>,</w:t>
      </w:r>
      <w:r w:rsidR="00C34773" w:rsidRPr="00C34773">
        <w:rPr>
          <w:rFonts w:ascii="Open Sans" w:hAnsi="Open Sans" w:cs="Open Sans"/>
          <w:color w:val="000000"/>
        </w:rPr>
        <w:t xml:space="preserve"> </w:t>
      </w:r>
      <w:r w:rsidRPr="00753088">
        <w:rPr>
          <w:rFonts w:ascii="Open Sans" w:hAnsi="Open Sans" w:cs="Open Sans"/>
          <w:color w:val="000000"/>
        </w:rPr>
        <w:t>el precio de la vivienda de segunda mano experime</w:t>
      </w:r>
      <w:r>
        <w:rPr>
          <w:rFonts w:ascii="Open Sans" w:hAnsi="Open Sans" w:cs="Open Sans"/>
          <w:color w:val="000000"/>
        </w:rPr>
        <w:t xml:space="preserve">nta en junio una subida semestral del </w:t>
      </w:r>
      <w:r w:rsidR="00810401">
        <w:rPr>
          <w:rFonts w:ascii="Open Sans" w:hAnsi="Open Sans" w:cs="Open Sans"/>
          <w:color w:val="000000"/>
        </w:rPr>
        <w:t>2,2</w:t>
      </w:r>
      <w:r>
        <w:rPr>
          <w:rFonts w:ascii="Open Sans" w:hAnsi="Open Sans" w:cs="Open Sans"/>
          <w:color w:val="000000"/>
        </w:rPr>
        <w:t>% y se sitúa en 1.</w:t>
      </w:r>
      <w:r w:rsidR="00810401">
        <w:rPr>
          <w:rFonts w:ascii="Open Sans" w:hAnsi="Open Sans" w:cs="Open Sans"/>
          <w:color w:val="000000"/>
        </w:rPr>
        <w:t>910</w:t>
      </w:r>
      <w:r>
        <w:rPr>
          <w:rFonts w:ascii="Open Sans" w:hAnsi="Open Sans" w:cs="Open Sans"/>
          <w:color w:val="000000"/>
        </w:rPr>
        <w:t xml:space="preserve"> </w:t>
      </w:r>
      <w:r w:rsidRPr="00753088">
        <w:rPr>
          <w:rFonts w:ascii="Open Sans" w:hAnsi="Open Sans" w:cs="Open Sans"/>
          <w:color w:val="000000"/>
        </w:rPr>
        <w:t>€/m</w:t>
      </w:r>
      <w:r w:rsidRPr="005947BD">
        <w:rPr>
          <w:rFonts w:ascii="Open Sans" w:hAnsi="Open Sans" w:cs="Open Sans"/>
          <w:color w:val="000000"/>
          <w:vertAlign w:val="superscript"/>
        </w:rPr>
        <w:t>2</w:t>
      </w:r>
      <w:r w:rsidRPr="00753088">
        <w:rPr>
          <w:rFonts w:ascii="Open Sans" w:hAnsi="Open Sans" w:cs="Open Sans"/>
          <w:color w:val="000000"/>
        </w:rPr>
        <w:t>, según los</w:t>
      </w:r>
      <w:r>
        <w:rPr>
          <w:rFonts w:ascii="Open Sans" w:hAnsi="Open Sans" w:cs="Open Sans"/>
          <w:color w:val="000000"/>
        </w:rPr>
        <w:t xml:space="preserve"> datos del Índice Inmobiliario </w:t>
      </w:r>
      <w:hyperlink r:id="rId8" w:history="1">
        <w:r w:rsidRPr="00B10769">
          <w:rPr>
            <w:rStyle w:val="Hipervnculo"/>
            <w:rFonts w:ascii="Open Sans" w:hAnsi="Open Sans" w:cs="Open Sans"/>
            <w:b/>
            <w:bCs/>
          </w:rPr>
          <w:t>Fotocasa</w:t>
        </w:r>
      </w:hyperlink>
      <w:r w:rsidR="008D7F20">
        <w:rPr>
          <w:rFonts w:ascii="Open Sans" w:hAnsi="Open Sans" w:cs="Open Sans"/>
          <w:color w:val="000000"/>
        </w:rPr>
        <w:t xml:space="preserve">, que en esta ocasión hace un amplio análisis del precio de la vivienda de segunda mano en el primer semestre (diciembre 2018 vs junio 2019). </w:t>
      </w:r>
      <w:r w:rsidR="00AF62E5" w:rsidRPr="00AF62E5">
        <w:rPr>
          <w:rFonts w:ascii="Open Sans" w:hAnsi="Open Sans" w:cs="Open Sans"/>
          <w:color w:val="000000"/>
        </w:rPr>
        <w:t>Con esta última subida, ya son tres años consecutivos en los que se registran datos positivos en la primera mitad del año.</w:t>
      </w:r>
    </w:p>
    <w:p w14:paraId="6F8A4EFD" w14:textId="77777777" w:rsidR="00AF62E5" w:rsidRDefault="00AF62E5" w:rsidP="00C15353">
      <w:pPr>
        <w:spacing w:line="276" w:lineRule="auto"/>
        <w:ind w:right="-574"/>
        <w:jc w:val="both"/>
        <w:rPr>
          <w:rFonts w:ascii="Open Sans" w:hAnsi="Open Sans" w:cs="Open Sans"/>
          <w:color w:val="000000"/>
        </w:rPr>
      </w:pPr>
    </w:p>
    <w:p w14:paraId="12235B82" w14:textId="70C0402E" w:rsidR="004F06DE" w:rsidRDefault="00193448" w:rsidP="004F06DE">
      <w:pPr>
        <w:spacing w:line="276" w:lineRule="auto"/>
        <w:ind w:right="-574"/>
        <w:jc w:val="both"/>
        <w:rPr>
          <w:rFonts w:ascii="Open Sans" w:hAnsi="Open Sans" w:cs="Open Sans"/>
          <w:color w:val="000000"/>
        </w:rPr>
      </w:pPr>
      <w:r>
        <w:rPr>
          <w:rFonts w:ascii="Open Sans" w:hAnsi="Open Sans" w:cs="Open Sans"/>
          <w:color w:val="000000"/>
        </w:rPr>
        <w:t xml:space="preserve">El precio medio de la vivienda en España </w:t>
      </w:r>
      <w:r w:rsidR="00C15353">
        <w:rPr>
          <w:rFonts w:ascii="Open Sans" w:hAnsi="Open Sans" w:cs="Open Sans"/>
          <w:color w:val="000000"/>
        </w:rPr>
        <w:t xml:space="preserve">muestra un </w:t>
      </w:r>
      <w:r>
        <w:rPr>
          <w:rFonts w:ascii="Open Sans" w:hAnsi="Open Sans" w:cs="Open Sans"/>
          <w:color w:val="000000"/>
        </w:rPr>
        <w:t>leve aumento</w:t>
      </w:r>
      <w:r w:rsidR="00C15353">
        <w:rPr>
          <w:rFonts w:ascii="Open Sans" w:hAnsi="Open Sans" w:cs="Open Sans"/>
          <w:color w:val="000000"/>
        </w:rPr>
        <w:t xml:space="preserve"> del </w:t>
      </w:r>
      <w:r>
        <w:rPr>
          <w:rFonts w:ascii="Open Sans" w:hAnsi="Open Sans" w:cs="Open Sans"/>
          <w:color w:val="000000"/>
        </w:rPr>
        <w:t>0,5</w:t>
      </w:r>
      <w:r w:rsidR="00C15353">
        <w:rPr>
          <w:rFonts w:ascii="Open Sans" w:hAnsi="Open Sans" w:cs="Open Sans"/>
          <w:color w:val="000000"/>
        </w:rPr>
        <w:t xml:space="preserve">% en su variación trimestral, seguida del </w:t>
      </w:r>
      <w:r>
        <w:rPr>
          <w:rFonts w:ascii="Open Sans" w:hAnsi="Open Sans" w:cs="Open Sans"/>
          <w:color w:val="000000"/>
        </w:rPr>
        <w:t>5,8</w:t>
      </w:r>
      <w:r w:rsidR="00C15353">
        <w:rPr>
          <w:rFonts w:ascii="Open Sans" w:hAnsi="Open Sans" w:cs="Open Sans"/>
          <w:color w:val="000000"/>
        </w:rPr>
        <w:t xml:space="preserve">% de incremento </w:t>
      </w:r>
      <w:r w:rsidR="00C15353" w:rsidRPr="00410E7E">
        <w:rPr>
          <w:rFonts w:ascii="Open Sans" w:hAnsi="Open Sans" w:cs="Open Sans"/>
          <w:color w:val="000000"/>
        </w:rPr>
        <w:t xml:space="preserve">interanual. </w:t>
      </w:r>
      <w:r w:rsidR="004F06DE" w:rsidRPr="00410E7E">
        <w:rPr>
          <w:rFonts w:ascii="Open Sans" w:hAnsi="Open Sans" w:cs="Open Sans"/>
          <w:b/>
          <w:bCs/>
          <w:color w:val="000000"/>
        </w:rPr>
        <w:t xml:space="preserve">Los datos del Índice Inmobiliario </w:t>
      </w:r>
      <w:hyperlink r:id="rId9" w:history="1">
        <w:r w:rsidR="004F06DE" w:rsidRPr="00410E7E">
          <w:rPr>
            <w:rStyle w:val="Hipervnculo"/>
            <w:rFonts w:ascii="Open Sans" w:hAnsi="Open Sans" w:cs="Open Sans"/>
            <w:b/>
            <w:bCs/>
          </w:rPr>
          <w:t>Fotocasa</w:t>
        </w:r>
      </w:hyperlink>
      <w:r w:rsidR="004F06DE" w:rsidRPr="00410E7E">
        <w:rPr>
          <w:rFonts w:ascii="Open Sans" w:hAnsi="Open Sans" w:cs="Open Sans"/>
          <w:b/>
          <w:bCs/>
          <w:color w:val="000000"/>
        </w:rPr>
        <w:t xml:space="preserve"> revelan también que en el primer semestre de 2019 en España se incrementa un 2,2% el valor, unos 41 euros más por metro cuadrado.</w:t>
      </w:r>
      <w:r w:rsidR="004F06DE" w:rsidRPr="00410E7E">
        <w:rPr>
          <w:rFonts w:ascii="Open Sans" w:hAnsi="Open Sans" w:cs="Open Sans"/>
          <w:color w:val="000000"/>
        </w:rPr>
        <w:t xml:space="preserve">  Es decir, por una vivienda de 80 metros en España se están pagando 3.244 euros más en junio de 2019 (1.910 €/m</w:t>
      </w:r>
      <w:r w:rsidR="004F06DE" w:rsidRPr="00410E7E">
        <w:rPr>
          <w:rFonts w:ascii="Open Sans" w:hAnsi="Open Sans" w:cs="Open Sans"/>
          <w:color w:val="000000"/>
          <w:vertAlign w:val="superscript"/>
        </w:rPr>
        <w:t>2</w:t>
      </w:r>
      <w:r w:rsidR="004F06DE" w:rsidRPr="00410E7E">
        <w:rPr>
          <w:rFonts w:ascii="Open Sans" w:hAnsi="Open Sans" w:cs="Open Sans"/>
          <w:color w:val="000000"/>
        </w:rPr>
        <w:t>) que en diciembre de 2018 (1.869 €/m</w:t>
      </w:r>
      <w:r w:rsidR="004F06DE" w:rsidRPr="00410E7E">
        <w:rPr>
          <w:rFonts w:ascii="Open Sans" w:hAnsi="Open Sans" w:cs="Open Sans"/>
          <w:color w:val="000000"/>
          <w:vertAlign w:val="superscript"/>
        </w:rPr>
        <w:t>2</w:t>
      </w:r>
      <w:r w:rsidR="004F06DE" w:rsidRPr="00410E7E">
        <w:rPr>
          <w:rFonts w:ascii="Open Sans" w:hAnsi="Open Sans" w:cs="Open Sans"/>
          <w:color w:val="000000"/>
        </w:rPr>
        <w:t>).</w:t>
      </w:r>
    </w:p>
    <w:p w14:paraId="1A6B0A17" w14:textId="77777777" w:rsidR="00410E7E" w:rsidRPr="00410E7E" w:rsidRDefault="00410E7E" w:rsidP="004F06DE">
      <w:pPr>
        <w:spacing w:line="276" w:lineRule="auto"/>
        <w:ind w:right="-574"/>
        <w:jc w:val="both"/>
        <w:rPr>
          <w:rFonts w:ascii="Open Sans" w:hAnsi="Open Sans" w:cs="Open Sans"/>
          <w:color w:val="000000"/>
        </w:rPr>
      </w:pPr>
    </w:p>
    <w:p w14:paraId="5676B6EC" w14:textId="77777777" w:rsidR="00C15353" w:rsidRDefault="00C15353" w:rsidP="00C15353">
      <w:pPr>
        <w:spacing w:line="276" w:lineRule="auto"/>
        <w:ind w:right="-574"/>
        <w:jc w:val="center"/>
        <w:rPr>
          <w:rFonts w:ascii="Open Sans Light" w:hAnsi="Open Sans Light" w:cs="Open Sans Light"/>
          <w:b/>
          <w:iCs/>
          <w:color w:val="303AB2"/>
          <w:sz w:val="28"/>
          <w:szCs w:val="22"/>
        </w:rPr>
      </w:pPr>
      <w:r w:rsidRPr="00C0175D">
        <w:rPr>
          <w:rFonts w:ascii="Open Sans Light" w:hAnsi="Open Sans Light" w:cs="Open Sans Light"/>
          <w:b/>
          <w:iCs/>
          <w:color w:val="303AB2"/>
          <w:sz w:val="28"/>
          <w:szCs w:val="22"/>
        </w:rPr>
        <w:lastRenderedPageBreak/>
        <w:t>Variaciones del precio de la vivienda en el primer semestre</w:t>
      </w:r>
      <w:r>
        <w:rPr>
          <w:rFonts w:ascii="Open Sans Light" w:hAnsi="Open Sans Light" w:cs="Open Sans Light"/>
          <w:b/>
          <w:iCs/>
          <w:color w:val="303AB2"/>
          <w:sz w:val="28"/>
          <w:szCs w:val="22"/>
        </w:rPr>
        <w:t xml:space="preserve"> de</w:t>
      </w:r>
      <w:r w:rsidRPr="00C0175D">
        <w:rPr>
          <w:rFonts w:ascii="Open Sans Light" w:hAnsi="Open Sans Light" w:cs="Open Sans Light"/>
          <w:b/>
          <w:iCs/>
          <w:color w:val="303AB2"/>
          <w:sz w:val="28"/>
          <w:szCs w:val="22"/>
        </w:rPr>
        <w:t xml:space="preserve"> 2019</w:t>
      </w:r>
    </w:p>
    <w:p w14:paraId="235471D3" w14:textId="24A78528" w:rsidR="00735DA4" w:rsidRPr="00C0175D" w:rsidRDefault="00810401" w:rsidP="00C15353">
      <w:pPr>
        <w:spacing w:line="276" w:lineRule="auto"/>
        <w:ind w:right="-574"/>
        <w:jc w:val="center"/>
        <w:rPr>
          <w:rFonts w:ascii="Open Sans Light" w:hAnsi="Open Sans Light" w:cs="Open Sans Light"/>
          <w:b/>
          <w:iCs/>
          <w:color w:val="303AB2"/>
          <w:sz w:val="28"/>
          <w:szCs w:val="22"/>
        </w:rPr>
      </w:pPr>
      <w:r>
        <w:rPr>
          <w:noProof/>
        </w:rPr>
        <w:drawing>
          <wp:inline distT="0" distB="0" distL="0" distR="0" wp14:anchorId="49AC10A2" wp14:editId="68EC15FA">
            <wp:extent cx="5396230" cy="3264195"/>
            <wp:effectExtent l="0" t="0" r="0" b="0"/>
            <wp:docPr id="3" name="Gráfico 3">
              <a:extLst xmlns:a="http://schemas.openxmlformats.org/drawingml/2006/main">
                <a:ext uri="{FF2B5EF4-FFF2-40B4-BE49-F238E27FC236}">
                  <a16:creationId xmlns:a16="http://schemas.microsoft.com/office/drawing/2014/main" id="{796D0B0C-C07B-4706-8493-B5B34A2CB5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CEA6E2" w14:textId="77777777" w:rsidR="00B720C4" w:rsidRDefault="00B720C4" w:rsidP="006762AD">
      <w:pPr>
        <w:pStyle w:val="NormalWeb"/>
        <w:shd w:val="clear" w:color="auto" w:fill="FFFFFF"/>
        <w:spacing w:after="225" w:line="276" w:lineRule="auto"/>
        <w:ind w:right="-574"/>
        <w:jc w:val="both"/>
        <w:rPr>
          <w:rFonts w:ascii="Open Sans" w:hAnsi="Open Sans" w:cs="Open Sans"/>
          <w:color w:val="000000"/>
        </w:rPr>
      </w:pPr>
    </w:p>
    <w:p w14:paraId="594EEB52" w14:textId="1E1E19C0" w:rsidR="00B720C4" w:rsidRPr="00B720C4" w:rsidRDefault="00B720C4" w:rsidP="006762AD">
      <w:pPr>
        <w:pStyle w:val="NormalWeb"/>
        <w:shd w:val="clear" w:color="auto" w:fill="FFFFFF"/>
        <w:spacing w:after="225" w:line="276" w:lineRule="auto"/>
        <w:ind w:right="-574"/>
        <w:jc w:val="both"/>
        <w:rPr>
          <w:rFonts w:ascii="Open Sans" w:hAnsi="Open Sans" w:cs="Open Sans"/>
          <w:color w:val="000000"/>
        </w:rPr>
      </w:pPr>
      <w:r w:rsidRPr="00B720C4">
        <w:rPr>
          <w:rFonts w:ascii="Open Sans" w:hAnsi="Open Sans" w:cs="Open Sans"/>
          <w:color w:val="000000"/>
        </w:rPr>
        <w:t xml:space="preserve">“El mercado de la vivienda de segunda mano sigue registrando subidas, aunque la intensidad de </w:t>
      </w:r>
      <w:proofErr w:type="gramStart"/>
      <w:r w:rsidRPr="00B720C4">
        <w:rPr>
          <w:rFonts w:ascii="Open Sans" w:hAnsi="Open Sans" w:cs="Open Sans"/>
          <w:color w:val="000000"/>
        </w:rPr>
        <w:t>la misma</w:t>
      </w:r>
      <w:proofErr w:type="gramEnd"/>
      <w:r w:rsidRPr="00B720C4">
        <w:rPr>
          <w:rFonts w:ascii="Open Sans" w:hAnsi="Open Sans" w:cs="Open Sans"/>
          <w:color w:val="000000"/>
        </w:rPr>
        <w:t xml:space="preserve"> varía mucho en función del territorio. Aun así, el índice Fotocasa muestra que las subidas se están moderando en comparación con los incrementos del año pasado, una tendencia que se repite en otras estadísticas que miden la salud del sector residencial”, explica Beatriz Toribio, directora de Estudios de </w:t>
      </w:r>
      <w:hyperlink r:id="rId11" w:history="1">
        <w:r w:rsidRPr="00B720C4">
          <w:rPr>
            <w:rStyle w:val="Hipervnculo"/>
            <w:rFonts w:ascii="Open Sans" w:hAnsi="Open Sans" w:cs="Open Sans"/>
          </w:rPr>
          <w:t>Fotocasa</w:t>
        </w:r>
      </w:hyperlink>
      <w:r w:rsidRPr="00B720C4">
        <w:rPr>
          <w:rFonts w:ascii="Open Sans" w:hAnsi="Open Sans" w:cs="Open Sans"/>
          <w:color w:val="000000"/>
        </w:rPr>
        <w:t>.</w:t>
      </w:r>
    </w:p>
    <w:p w14:paraId="6D5F3AA2" w14:textId="04E034EC" w:rsidR="00C15353" w:rsidRDefault="00C15353" w:rsidP="00C15353">
      <w:pPr>
        <w:spacing w:line="276" w:lineRule="auto"/>
        <w:ind w:right="-574"/>
        <w:jc w:val="both"/>
        <w:rPr>
          <w:rFonts w:ascii="Open Sans" w:hAnsi="Open Sans" w:cs="Open Sans"/>
          <w:color w:val="000000"/>
        </w:rPr>
      </w:pPr>
      <w:r w:rsidRPr="003D3C30">
        <w:rPr>
          <w:rFonts w:ascii="Open Sans" w:hAnsi="Open Sans" w:cs="Open Sans"/>
          <w:color w:val="000000"/>
        </w:rPr>
        <w:t xml:space="preserve">En cuanto a las </w:t>
      </w:r>
      <w:r w:rsidR="004F06DE" w:rsidRPr="003D3C30">
        <w:rPr>
          <w:rFonts w:ascii="Open Sans" w:hAnsi="Open Sans" w:cs="Open Sans"/>
          <w:color w:val="000000"/>
        </w:rPr>
        <w:t>Co</w:t>
      </w:r>
      <w:r w:rsidRPr="003D3C30">
        <w:rPr>
          <w:rFonts w:ascii="Open Sans" w:hAnsi="Open Sans" w:cs="Open Sans"/>
          <w:color w:val="000000"/>
        </w:rPr>
        <w:t xml:space="preserve">munidades </w:t>
      </w:r>
      <w:r w:rsidR="004F06DE" w:rsidRPr="003D3C30">
        <w:rPr>
          <w:rFonts w:ascii="Open Sans" w:hAnsi="Open Sans" w:cs="Open Sans"/>
          <w:color w:val="000000"/>
        </w:rPr>
        <w:t xml:space="preserve">Autónomas </w:t>
      </w:r>
      <w:r w:rsidRPr="003D3C30">
        <w:rPr>
          <w:rFonts w:ascii="Open Sans" w:hAnsi="Open Sans" w:cs="Open Sans"/>
          <w:color w:val="000000"/>
        </w:rPr>
        <w:t>con mayor incremento semestral, Madrid y Canarias</w:t>
      </w:r>
      <w:r w:rsidR="00410E7E">
        <w:rPr>
          <w:rFonts w:ascii="Open Sans" w:hAnsi="Open Sans" w:cs="Open Sans"/>
          <w:color w:val="000000"/>
        </w:rPr>
        <w:t xml:space="preserve"> encabezan el ranking de junio </w:t>
      </w:r>
      <w:r w:rsidRPr="003D3C30">
        <w:rPr>
          <w:rFonts w:ascii="Open Sans" w:hAnsi="Open Sans" w:cs="Open Sans"/>
          <w:color w:val="000000"/>
        </w:rPr>
        <w:t>con un 5,2%</w:t>
      </w:r>
      <w:r w:rsidR="00EB31D6" w:rsidRPr="003D3C30">
        <w:rPr>
          <w:rFonts w:ascii="Open Sans" w:hAnsi="Open Sans" w:cs="Open Sans"/>
          <w:color w:val="000000"/>
        </w:rPr>
        <w:t xml:space="preserve"> cada una</w:t>
      </w:r>
      <w:r w:rsidR="001C3B6A">
        <w:rPr>
          <w:rFonts w:ascii="Open Sans" w:hAnsi="Open Sans" w:cs="Open Sans"/>
          <w:color w:val="000000"/>
        </w:rPr>
        <w:t xml:space="preserve"> respecto a diciembre de 2018</w:t>
      </w:r>
      <w:r w:rsidR="00410E7E">
        <w:rPr>
          <w:rFonts w:ascii="Open Sans" w:hAnsi="Open Sans" w:cs="Open Sans"/>
          <w:color w:val="000000"/>
        </w:rPr>
        <w:t>.</w:t>
      </w:r>
      <w:r w:rsidRPr="003D3C30">
        <w:rPr>
          <w:rFonts w:ascii="Open Sans" w:hAnsi="Open Sans" w:cs="Open Sans"/>
          <w:color w:val="000000"/>
        </w:rPr>
        <w:t xml:space="preserve"> </w:t>
      </w:r>
      <w:r w:rsidR="004F06DE" w:rsidRPr="003D3C30">
        <w:rPr>
          <w:rFonts w:ascii="Open Sans" w:hAnsi="Open Sans" w:cs="Open Sans"/>
          <w:color w:val="000000"/>
        </w:rPr>
        <w:t>Le siguen</w:t>
      </w:r>
      <w:bookmarkStart w:id="0" w:name="_GoBack"/>
      <w:bookmarkEnd w:id="0"/>
      <w:r w:rsidR="004F06DE" w:rsidRPr="003D3C30">
        <w:rPr>
          <w:rFonts w:ascii="Open Sans" w:hAnsi="Open Sans" w:cs="Open Sans"/>
          <w:color w:val="000000"/>
        </w:rPr>
        <w:t xml:space="preserve"> Baleares (5%), Navarra (3,5%), Aragón (2,7%), Cantabria (2,5%), Andalucía (2,3%), Comunitat Valenciana (</w:t>
      </w:r>
      <w:r w:rsidR="003D3C30" w:rsidRPr="003D3C30">
        <w:rPr>
          <w:rFonts w:ascii="Open Sans" w:hAnsi="Open Sans" w:cs="Open Sans"/>
          <w:color w:val="000000"/>
        </w:rPr>
        <w:t>1</w:t>
      </w:r>
      <w:r w:rsidR="004F06DE" w:rsidRPr="003D3C30">
        <w:rPr>
          <w:rFonts w:ascii="Open Sans" w:hAnsi="Open Sans" w:cs="Open Sans"/>
          <w:color w:val="000000"/>
        </w:rPr>
        <w:t>%), Asturias (</w:t>
      </w:r>
      <w:r w:rsidR="003D3C30" w:rsidRPr="003D3C30">
        <w:rPr>
          <w:rFonts w:ascii="Open Sans" w:hAnsi="Open Sans" w:cs="Open Sans"/>
          <w:color w:val="000000"/>
        </w:rPr>
        <w:t>0,9</w:t>
      </w:r>
      <w:r w:rsidR="004F06DE" w:rsidRPr="003D3C30">
        <w:rPr>
          <w:rFonts w:ascii="Open Sans" w:hAnsi="Open Sans" w:cs="Open Sans"/>
          <w:color w:val="000000"/>
        </w:rPr>
        <w:t>%), Castilla-La Mancha (</w:t>
      </w:r>
      <w:r w:rsidR="003D3C30" w:rsidRPr="003D3C30">
        <w:rPr>
          <w:rFonts w:ascii="Open Sans" w:hAnsi="Open Sans" w:cs="Open Sans"/>
          <w:color w:val="000000"/>
        </w:rPr>
        <w:t>0,8</w:t>
      </w:r>
      <w:r w:rsidR="004F06DE" w:rsidRPr="003D3C30">
        <w:rPr>
          <w:rFonts w:ascii="Open Sans" w:hAnsi="Open Sans" w:cs="Open Sans"/>
          <w:color w:val="000000"/>
        </w:rPr>
        <w:t>%), Región de Murcia (</w:t>
      </w:r>
      <w:r w:rsidR="003D3C30" w:rsidRPr="003D3C30">
        <w:rPr>
          <w:rFonts w:ascii="Open Sans" w:hAnsi="Open Sans" w:cs="Open Sans"/>
          <w:color w:val="000000"/>
        </w:rPr>
        <w:t>0,8</w:t>
      </w:r>
      <w:r w:rsidR="004F06DE" w:rsidRPr="003D3C30">
        <w:rPr>
          <w:rFonts w:ascii="Open Sans" w:hAnsi="Open Sans" w:cs="Open Sans"/>
          <w:color w:val="000000"/>
        </w:rPr>
        <w:t>%), La Rioja (</w:t>
      </w:r>
      <w:r w:rsidR="003D3C30" w:rsidRPr="003D3C30">
        <w:rPr>
          <w:rFonts w:ascii="Open Sans" w:hAnsi="Open Sans" w:cs="Open Sans"/>
          <w:color w:val="000000"/>
        </w:rPr>
        <w:t>0,7</w:t>
      </w:r>
      <w:r w:rsidR="004F06DE" w:rsidRPr="003D3C30">
        <w:rPr>
          <w:rFonts w:ascii="Open Sans" w:hAnsi="Open Sans" w:cs="Open Sans"/>
          <w:color w:val="000000"/>
        </w:rPr>
        <w:t>%), País Vasco (</w:t>
      </w:r>
      <w:r w:rsidR="003D3C30" w:rsidRPr="003D3C30">
        <w:rPr>
          <w:rFonts w:ascii="Open Sans" w:hAnsi="Open Sans" w:cs="Open Sans"/>
          <w:color w:val="000000"/>
        </w:rPr>
        <w:t>0,5</w:t>
      </w:r>
      <w:r w:rsidR="004F06DE" w:rsidRPr="003D3C30">
        <w:rPr>
          <w:rFonts w:ascii="Open Sans" w:hAnsi="Open Sans" w:cs="Open Sans"/>
          <w:color w:val="000000"/>
        </w:rPr>
        <w:t>%)</w:t>
      </w:r>
      <w:r w:rsidR="003D3C30" w:rsidRPr="003D3C30">
        <w:rPr>
          <w:rFonts w:ascii="Open Sans" w:hAnsi="Open Sans" w:cs="Open Sans"/>
          <w:color w:val="000000"/>
        </w:rPr>
        <w:t xml:space="preserve"> y</w:t>
      </w:r>
      <w:r w:rsidR="004F06DE" w:rsidRPr="003D3C30">
        <w:rPr>
          <w:rFonts w:ascii="Open Sans" w:hAnsi="Open Sans" w:cs="Open Sans"/>
          <w:color w:val="000000"/>
        </w:rPr>
        <w:t xml:space="preserve"> Cataluña (</w:t>
      </w:r>
      <w:r w:rsidR="003D3C30" w:rsidRPr="003D3C30">
        <w:rPr>
          <w:rFonts w:ascii="Open Sans" w:hAnsi="Open Sans" w:cs="Open Sans"/>
          <w:color w:val="000000"/>
        </w:rPr>
        <w:t>0,1</w:t>
      </w:r>
      <w:r w:rsidR="004F06DE" w:rsidRPr="003D3C30">
        <w:rPr>
          <w:rFonts w:ascii="Open Sans" w:hAnsi="Open Sans" w:cs="Open Sans"/>
          <w:color w:val="000000"/>
        </w:rPr>
        <w:t>%)</w:t>
      </w:r>
      <w:r w:rsidR="003D3C30" w:rsidRPr="003D3C30">
        <w:rPr>
          <w:rFonts w:ascii="Open Sans" w:hAnsi="Open Sans" w:cs="Open Sans"/>
          <w:color w:val="000000"/>
        </w:rPr>
        <w:t xml:space="preserve">. </w:t>
      </w:r>
      <w:r w:rsidRPr="003D3C30">
        <w:rPr>
          <w:rFonts w:ascii="Open Sans" w:hAnsi="Open Sans" w:cs="Open Sans"/>
          <w:color w:val="000000"/>
        </w:rPr>
        <w:t xml:space="preserve"> Sin embargo, el precio medio de las viviendas en Castilla y León (-1,5%), Extremadura (-0,5%) y Galicia (-0,1%) </w:t>
      </w:r>
      <w:r w:rsidR="00390D76" w:rsidRPr="003D3C30">
        <w:rPr>
          <w:rFonts w:ascii="Open Sans" w:hAnsi="Open Sans" w:cs="Open Sans"/>
          <w:color w:val="000000"/>
        </w:rPr>
        <w:t>es más bajo</w:t>
      </w:r>
      <w:r w:rsidRPr="003D3C30">
        <w:rPr>
          <w:rFonts w:ascii="Open Sans" w:hAnsi="Open Sans" w:cs="Open Sans"/>
          <w:color w:val="000000"/>
        </w:rPr>
        <w:t xml:space="preserve"> que hace seis meses</w:t>
      </w:r>
      <w:r w:rsidR="008166B8">
        <w:rPr>
          <w:rFonts w:ascii="Open Sans" w:hAnsi="Open Sans" w:cs="Open Sans"/>
          <w:color w:val="000000"/>
        </w:rPr>
        <w:t>.</w:t>
      </w:r>
    </w:p>
    <w:p w14:paraId="39191749" w14:textId="77777777" w:rsidR="003D3C30" w:rsidRDefault="003D3C30" w:rsidP="00C15353">
      <w:pPr>
        <w:spacing w:line="276" w:lineRule="auto"/>
        <w:ind w:right="-574"/>
        <w:jc w:val="both"/>
        <w:rPr>
          <w:rFonts w:ascii="Open Sans" w:hAnsi="Open Sans" w:cs="Open Sans"/>
          <w:color w:val="000000"/>
        </w:rPr>
      </w:pPr>
    </w:p>
    <w:p w14:paraId="4441041E" w14:textId="2BFA3952" w:rsidR="004F06DE" w:rsidRDefault="003D3C30" w:rsidP="00C15353">
      <w:pPr>
        <w:spacing w:line="276" w:lineRule="auto"/>
        <w:ind w:right="-574"/>
        <w:jc w:val="both"/>
        <w:rPr>
          <w:rFonts w:ascii="Open Sans" w:hAnsi="Open Sans" w:cs="Open Sans"/>
          <w:color w:val="000000"/>
        </w:rPr>
      </w:pPr>
      <w:r w:rsidRPr="004272DD">
        <w:rPr>
          <w:rFonts w:ascii="Open Sans" w:hAnsi="Open Sans" w:cs="Open Sans"/>
          <w:color w:val="000000"/>
        </w:rPr>
        <w:t xml:space="preserve">En cuanto </w:t>
      </w:r>
      <w:r>
        <w:rPr>
          <w:rFonts w:ascii="Open Sans" w:hAnsi="Open Sans" w:cs="Open Sans"/>
          <w:color w:val="000000"/>
        </w:rPr>
        <w:t>al ranking de precios por comunidades, Madrid</w:t>
      </w:r>
      <w:r w:rsidR="00410E7E">
        <w:rPr>
          <w:rFonts w:ascii="Open Sans" w:hAnsi="Open Sans" w:cs="Open Sans"/>
          <w:color w:val="000000"/>
        </w:rPr>
        <w:t xml:space="preserve">, </w:t>
      </w:r>
      <w:r>
        <w:rPr>
          <w:rFonts w:ascii="Open Sans" w:hAnsi="Open Sans" w:cs="Open Sans"/>
          <w:color w:val="000000"/>
        </w:rPr>
        <w:t>que ocupa el primer puesto</w:t>
      </w:r>
      <w:r w:rsidR="00410E7E">
        <w:rPr>
          <w:rFonts w:ascii="Open Sans" w:hAnsi="Open Sans" w:cs="Open Sans"/>
          <w:color w:val="000000"/>
        </w:rPr>
        <w:t xml:space="preserve">, es </w:t>
      </w:r>
      <w:r w:rsidR="008166B8">
        <w:rPr>
          <w:rFonts w:ascii="Open Sans" w:hAnsi="Open Sans" w:cs="Open Sans"/>
          <w:color w:val="000000"/>
        </w:rPr>
        <w:t>l</w:t>
      </w:r>
      <w:r w:rsidR="00410E7E">
        <w:rPr>
          <w:rFonts w:ascii="Open Sans" w:hAnsi="Open Sans" w:cs="Open Sans"/>
          <w:color w:val="000000"/>
        </w:rPr>
        <w:t>a única que supera la barrera de los 3.000 euros</w:t>
      </w:r>
      <w:r w:rsidR="008166B8">
        <w:rPr>
          <w:rFonts w:ascii="Open Sans" w:hAnsi="Open Sans" w:cs="Open Sans"/>
          <w:color w:val="000000"/>
        </w:rPr>
        <w:t xml:space="preserve"> y </w:t>
      </w:r>
      <w:r w:rsidR="00410E7E">
        <w:rPr>
          <w:rFonts w:ascii="Open Sans" w:hAnsi="Open Sans" w:cs="Open Sans"/>
          <w:color w:val="000000"/>
        </w:rPr>
        <w:t>se paga por metro cuadrado</w:t>
      </w:r>
      <w:r>
        <w:rPr>
          <w:rFonts w:ascii="Open Sans" w:hAnsi="Open Sans" w:cs="Open Sans"/>
          <w:color w:val="000000"/>
        </w:rPr>
        <w:t xml:space="preserve"> 3.033 </w:t>
      </w:r>
      <w:r w:rsidR="00410E7E">
        <w:rPr>
          <w:rFonts w:ascii="Open Sans" w:hAnsi="Open Sans" w:cs="Open Sans"/>
          <w:color w:val="000000"/>
        </w:rPr>
        <w:t xml:space="preserve">euros. Le siguen las comunidades de </w:t>
      </w:r>
      <w:r>
        <w:rPr>
          <w:rFonts w:ascii="Open Sans" w:hAnsi="Open Sans" w:cs="Open Sans"/>
          <w:color w:val="000000"/>
        </w:rPr>
        <w:t>País Vasco (</w:t>
      </w:r>
      <w:r w:rsidR="00131384">
        <w:rPr>
          <w:rFonts w:ascii="Open Sans" w:hAnsi="Open Sans" w:cs="Open Sans"/>
          <w:color w:val="000000"/>
        </w:rPr>
        <w:t xml:space="preserve">2.813 </w:t>
      </w:r>
      <w:r w:rsidR="00131384" w:rsidRPr="003D3C30">
        <w:rPr>
          <w:rFonts w:ascii="Open Sans" w:hAnsi="Open Sans" w:cs="Open Sans"/>
          <w:color w:val="000000"/>
        </w:rPr>
        <w:t>€/m</w:t>
      </w:r>
      <w:r w:rsidR="00131384" w:rsidRPr="003D3C30">
        <w:rPr>
          <w:rFonts w:ascii="Open Sans" w:hAnsi="Open Sans" w:cs="Open Sans"/>
          <w:color w:val="000000"/>
          <w:vertAlign w:val="superscript"/>
        </w:rPr>
        <w:t>2</w:t>
      </w:r>
      <w:r>
        <w:rPr>
          <w:rFonts w:ascii="Open Sans" w:hAnsi="Open Sans" w:cs="Open Sans"/>
          <w:color w:val="000000"/>
        </w:rPr>
        <w:t>), Baleares</w:t>
      </w:r>
      <w:r w:rsidR="00131384">
        <w:rPr>
          <w:rFonts w:ascii="Open Sans" w:hAnsi="Open Sans" w:cs="Open Sans"/>
          <w:color w:val="000000"/>
        </w:rPr>
        <w:t xml:space="preserve"> (2.662 </w:t>
      </w:r>
      <w:r w:rsidR="00131384" w:rsidRPr="003D3C30">
        <w:rPr>
          <w:rFonts w:ascii="Open Sans" w:hAnsi="Open Sans" w:cs="Open Sans"/>
          <w:color w:val="000000"/>
        </w:rPr>
        <w:t>€/m</w:t>
      </w:r>
      <w:r w:rsidR="00131384" w:rsidRPr="003D3C30">
        <w:rPr>
          <w:rFonts w:ascii="Open Sans" w:hAnsi="Open Sans" w:cs="Open Sans"/>
          <w:color w:val="000000"/>
          <w:vertAlign w:val="superscript"/>
        </w:rPr>
        <w:t>2</w:t>
      </w:r>
      <w:r w:rsidR="00131384">
        <w:rPr>
          <w:rFonts w:ascii="Open Sans" w:hAnsi="Open Sans" w:cs="Open Sans"/>
          <w:color w:val="000000"/>
        </w:rPr>
        <w:t xml:space="preserve">) y Cataluña (2.545 </w:t>
      </w:r>
      <w:r w:rsidR="00131384" w:rsidRPr="003D3C30">
        <w:rPr>
          <w:rFonts w:ascii="Open Sans" w:hAnsi="Open Sans" w:cs="Open Sans"/>
          <w:color w:val="000000"/>
        </w:rPr>
        <w:t>€/m</w:t>
      </w:r>
      <w:r w:rsidR="00131384" w:rsidRPr="003D3C30">
        <w:rPr>
          <w:rFonts w:ascii="Open Sans" w:hAnsi="Open Sans" w:cs="Open Sans"/>
          <w:color w:val="000000"/>
          <w:vertAlign w:val="superscript"/>
        </w:rPr>
        <w:t>2</w:t>
      </w:r>
      <w:r w:rsidR="00131384">
        <w:rPr>
          <w:rFonts w:ascii="Open Sans" w:hAnsi="Open Sans" w:cs="Open Sans"/>
          <w:color w:val="000000"/>
        </w:rPr>
        <w:t>).</w:t>
      </w:r>
      <w:r w:rsidR="001E1AEB">
        <w:rPr>
          <w:rFonts w:ascii="Open Sans" w:hAnsi="Open Sans" w:cs="Open Sans"/>
          <w:color w:val="000000"/>
        </w:rPr>
        <w:t xml:space="preserve"> Por otro lado, la comunidad con el precio más económico es Extremadura con 1.105 </w:t>
      </w:r>
      <w:r w:rsidR="001E1AEB" w:rsidRPr="003D3C30">
        <w:rPr>
          <w:rFonts w:ascii="Open Sans" w:hAnsi="Open Sans" w:cs="Open Sans"/>
          <w:color w:val="000000"/>
        </w:rPr>
        <w:t>€/m</w:t>
      </w:r>
      <w:r w:rsidR="001E1AEB" w:rsidRPr="003D3C30">
        <w:rPr>
          <w:rFonts w:ascii="Open Sans" w:hAnsi="Open Sans" w:cs="Open Sans"/>
          <w:color w:val="000000"/>
          <w:vertAlign w:val="superscript"/>
        </w:rPr>
        <w:t>2</w:t>
      </w:r>
      <w:r w:rsidR="001E1AEB" w:rsidRPr="001E1AEB">
        <w:rPr>
          <w:rFonts w:ascii="Open Sans" w:hAnsi="Open Sans" w:cs="Open Sans"/>
          <w:color w:val="000000"/>
        </w:rPr>
        <w:t>, seguid</w:t>
      </w:r>
      <w:r w:rsidR="001E1AEB">
        <w:rPr>
          <w:rFonts w:ascii="Open Sans" w:hAnsi="Open Sans" w:cs="Open Sans"/>
          <w:color w:val="000000"/>
        </w:rPr>
        <w:t>a de Castilla-La Mancha (1.128</w:t>
      </w:r>
      <w:r w:rsidR="001E1AEB" w:rsidRPr="003D3C30">
        <w:rPr>
          <w:rFonts w:ascii="Open Sans" w:hAnsi="Open Sans" w:cs="Open Sans"/>
          <w:color w:val="000000"/>
        </w:rPr>
        <w:t>€/m</w:t>
      </w:r>
      <w:r w:rsidR="001E1AEB" w:rsidRPr="003D3C30">
        <w:rPr>
          <w:rFonts w:ascii="Open Sans" w:hAnsi="Open Sans" w:cs="Open Sans"/>
          <w:color w:val="000000"/>
          <w:vertAlign w:val="superscript"/>
        </w:rPr>
        <w:t>2</w:t>
      </w:r>
      <w:r w:rsidR="001E1AEB">
        <w:rPr>
          <w:rFonts w:ascii="Open Sans" w:hAnsi="Open Sans" w:cs="Open Sans"/>
          <w:color w:val="000000"/>
        </w:rPr>
        <w:t xml:space="preserve">) y </w:t>
      </w:r>
      <w:r w:rsidR="00843EE7">
        <w:rPr>
          <w:rFonts w:ascii="Open Sans" w:hAnsi="Open Sans" w:cs="Open Sans"/>
          <w:color w:val="000000"/>
        </w:rPr>
        <w:t xml:space="preserve">la </w:t>
      </w:r>
      <w:r w:rsidR="001E1AEB">
        <w:rPr>
          <w:rFonts w:ascii="Open Sans" w:hAnsi="Open Sans" w:cs="Open Sans"/>
          <w:color w:val="000000"/>
        </w:rPr>
        <w:t xml:space="preserve">Región de Murcia (1.145 </w:t>
      </w:r>
      <w:r w:rsidR="001E1AEB" w:rsidRPr="003D3C30">
        <w:rPr>
          <w:rFonts w:ascii="Open Sans" w:hAnsi="Open Sans" w:cs="Open Sans"/>
          <w:color w:val="000000"/>
        </w:rPr>
        <w:t>€/m</w:t>
      </w:r>
      <w:r w:rsidR="001E1AEB" w:rsidRPr="003D3C30">
        <w:rPr>
          <w:rFonts w:ascii="Open Sans" w:hAnsi="Open Sans" w:cs="Open Sans"/>
          <w:color w:val="000000"/>
          <w:vertAlign w:val="superscript"/>
        </w:rPr>
        <w:t>2</w:t>
      </w:r>
      <w:r w:rsidR="001E1AEB">
        <w:rPr>
          <w:rFonts w:ascii="Open Sans" w:hAnsi="Open Sans" w:cs="Open Sans"/>
          <w:color w:val="000000"/>
        </w:rPr>
        <w:t xml:space="preserve">). </w:t>
      </w:r>
    </w:p>
    <w:p w14:paraId="451761B1" w14:textId="5B078E75" w:rsidR="00131384" w:rsidRDefault="00131384" w:rsidP="00131384">
      <w:pPr>
        <w:pStyle w:val="NormalWeb"/>
        <w:shd w:val="clear" w:color="auto" w:fill="FFFFFF"/>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lastRenderedPageBreak/>
        <w:t>Hace seis meses la vivienda costaba menos en 31 provincias</w:t>
      </w:r>
    </w:p>
    <w:p w14:paraId="21E84515" w14:textId="69E423FB" w:rsidR="009E0905" w:rsidRPr="009E0905" w:rsidRDefault="00C15353" w:rsidP="00C15353">
      <w:pPr>
        <w:spacing w:line="276" w:lineRule="auto"/>
        <w:ind w:right="-574"/>
        <w:jc w:val="both"/>
        <w:rPr>
          <w:rFonts w:ascii="Open Sans" w:hAnsi="Open Sans" w:cs="Open Sans"/>
          <w:color w:val="000000"/>
        </w:rPr>
      </w:pPr>
      <w:r w:rsidRPr="009E0905">
        <w:rPr>
          <w:rFonts w:ascii="Open Sans" w:hAnsi="Open Sans" w:cs="Open Sans"/>
          <w:color w:val="000000"/>
        </w:rPr>
        <w:t xml:space="preserve">Los datos del Índice Inmobiliario </w:t>
      </w:r>
      <w:hyperlink r:id="rId12" w:history="1">
        <w:r w:rsidRPr="009E0905">
          <w:rPr>
            <w:rStyle w:val="Hipervnculo"/>
            <w:rFonts w:ascii="Open Sans" w:hAnsi="Open Sans" w:cs="Open Sans"/>
            <w:b/>
            <w:bCs/>
          </w:rPr>
          <w:t>Fotocasa</w:t>
        </w:r>
      </w:hyperlink>
      <w:r w:rsidRPr="009E0905">
        <w:rPr>
          <w:rFonts w:ascii="Open Sans" w:hAnsi="Open Sans" w:cs="Open Sans"/>
          <w:color w:val="000000"/>
        </w:rPr>
        <w:t xml:space="preserve"> revelan también que </w:t>
      </w:r>
      <w:r w:rsidR="00DD15DC">
        <w:rPr>
          <w:rFonts w:ascii="Open Sans" w:hAnsi="Open Sans" w:cs="Open Sans"/>
          <w:color w:val="000000"/>
        </w:rPr>
        <w:t xml:space="preserve">en </w:t>
      </w:r>
      <w:r w:rsidRPr="009E0905">
        <w:rPr>
          <w:rFonts w:ascii="Open Sans" w:hAnsi="Open Sans" w:cs="Open Sans"/>
          <w:color w:val="000000"/>
        </w:rPr>
        <w:t>e</w:t>
      </w:r>
      <w:r w:rsidR="00500E90" w:rsidRPr="009E0905">
        <w:rPr>
          <w:rFonts w:ascii="Open Sans" w:hAnsi="Open Sans" w:cs="Open Sans"/>
          <w:color w:val="000000"/>
        </w:rPr>
        <w:t>l</w:t>
      </w:r>
      <w:r w:rsidRPr="009E0905">
        <w:rPr>
          <w:rFonts w:ascii="Open Sans" w:hAnsi="Open Sans" w:cs="Open Sans"/>
          <w:color w:val="000000"/>
        </w:rPr>
        <w:t xml:space="preserve"> primer semestre de 2019 e</w:t>
      </w:r>
      <w:r w:rsidR="00500E90" w:rsidRPr="009E0905">
        <w:rPr>
          <w:rFonts w:ascii="Open Sans" w:hAnsi="Open Sans" w:cs="Open Sans"/>
          <w:color w:val="000000"/>
        </w:rPr>
        <w:t>l</w:t>
      </w:r>
      <w:r w:rsidRPr="009E0905">
        <w:rPr>
          <w:rFonts w:ascii="Open Sans" w:hAnsi="Open Sans" w:cs="Open Sans"/>
          <w:color w:val="000000"/>
        </w:rPr>
        <w:t xml:space="preserve"> precio de la vivienda se incrementa en 31 de las 50 provincias de España. </w:t>
      </w:r>
      <w:r w:rsidR="009E0905" w:rsidRPr="009E0905">
        <w:rPr>
          <w:rFonts w:ascii="Open Sans" w:hAnsi="Open Sans" w:cs="Open Sans"/>
          <w:color w:val="000000"/>
        </w:rPr>
        <w:t>Los incrementos</w:t>
      </w:r>
      <w:r w:rsidR="009E0905">
        <w:rPr>
          <w:rFonts w:ascii="Open Sans" w:hAnsi="Open Sans" w:cs="Open Sans"/>
          <w:color w:val="000000"/>
        </w:rPr>
        <w:t xml:space="preserve"> semestrales</w:t>
      </w:r>
      <w:r w:rsidR="009E0905" w:rsidRPr="009E0905">
        <w:rPr>
          <w:rFonts w:ascii="Open Sans" w:hAnsi="Open Sans" w:cs="Open Sans"/>
          <w:color w:val="000000"/>
        </w:rPr>
        <w:t xml:space="preserve"> van de</w:t>
      </w:r>
      <w:r w:rsidR="009E0905">
        <w:rPr>
          <w:rFonts w:ascii="Open Sans" w:hAnsi="Open Sans" w:cs="Open Sans"/>
          <w:color w:val="000000"/>
        </w:rPr>
        <w:t>sde el</w:t>
      </w:r>
      <w:r w:rsidR="009E0905" w:rsidRPr="009E0905">
        <w:rPr>
          <w:rFonts w:ascii="Open Sans" w:hAnsi="Open Sans" w:cs="Open Sans"/>
          <w:color w:val="000000"/>
        </w:rPr>
        <w:t xml:space="preserve"> 8,2% de Santa Cruz de Tenerife hasta el 0,2% de Badajoz. Por otro lado, la provincia con </w:t>
      </w:r>
      <w:r w:rsidR="009E0905">
        <w:rPr>
          <w:rFonts w:ascii="Open Sans" w:hAnsi="Open Sans" w:cs="Open Sans"/>
          <w:color w:val="000000"/>
        </w:rPr>
        <w:t>el</w:t>
      </w:r>
      <w:r w:rsidR="009E0905" w:rsidRPr="009E0905">
        <w:rPr>
          <w:rFonts w:ascii="Open Sans" w:hAnsi="Open Sans" w:cs="Open Sans"/>
          <w:color w:val="000000"/>
        </w:rPr>
        <w:t xml:space="preserve"> descenso más acusado es Lleida, que ha visto descender su </w:t>
      </w:r>
      <w:r w:rsidR="009E0905">
        <w:rPr>
          <w:rFonts w:ascii="Open Sans" w:hAnsi="Open Sans" w:cs="Open Sans"/>
          <w:color w:val="000000"/>
        </w:rPr>
        <w:t>valor</w:t>
      </w:r>
      <w:r w:rsidR="009E0905" w:rsidRPr="009E0905">
        <w:rPr>
          <w:rFonts w:ascii="Open Sans" w:hAnsi="Open Sans" w:cs="Open Sans"/>
          <w:color w:val="000000"/>
        </w:rPr>
        <w:t xml:space="preserve"> un -4,3%</w:t>
      </w:r>
      <w:r w:rsidR="009E0905">
        <w:rPr>
          <w:rFonts w:ascii="Open Sans" w:hAnsi="Open Sans" w:cs="Open Sans"/>
          <w:color w:val="000000"/>
        </w:rPr>
        <w:t xml:space="preserve"> en junio respecto a diciembre de 2018.</w:t>
      </w:r>
    </w:p>
    <w:p w14:paraId="5FD09A0C" w14:textId="77777777" w:rsidR="009E0905" w:rsidRDefault="009E0905" w:rsidP="00C15353">
      <w:pPr>
        <w:spacing w:line="276" w:lineRule="auto"/>
        <w:ind w:right="-574"/>
        <w:jc w:val="both"/>
        <w:rPr>
          <w:rFonts w:ascii="Open Sans" w:hAnsi="Open Sans" w:cs="Open Sans"/>
          <w:color w:val="000000"/>
          <w:highlight w:val="cyan"/>
        </w:rPr>
      </w:pPr>
    </w:p>
    <w:p w14:paraId="15ED5A46" w14:textId="58863AA6" w:rsidR="009E0905" w:rsidRPr="006D180D" w:rsidRDefault="009E0905" w:rsidP="009E0905">
      <w:pPr>
        <w:spacing w:line="276" w:lineRule="auto"/>
        <w:ind w:right="-574"/>
        <w:jc w:val="both"/>
        <w:rPr>
          <w:rFonts w:ascii="Open Sans" w:hAnsi="Open Sans" w:cs="Open Sans"/>
          <w:b/>
          <w:bCs/>
          <w:color w:val="000000"/>
          <w:highlight w:val="cyan"/>
        </w:rPr>
      </w:pPr>
      <w:r>
        <w:rPr>
          <w:rFonts w:ascii="Open Sans" w:hAnsi="Open Sans" w:cs="Open Sans"/>
          <w:color w:val="000000"/>
        </w:rPr>
        <w:t xml:space="preserve">Si </w:t>
      </w:r>
      <w:r w:rsidRPr="009E0905">
        <w:rPr>
          <w:rFonts w:ascii="Open Sans" w:hAnsi="Open Sans" w:cs="Open Sans"/>
          <w:color w:val="000000"/>
        </w:rPr>
        <w:t xml:space="preserve">calculamos las variaciones semestrales en euros de la provincia de </w:t>
      </w:r>
      <w:r w:rsidRPr="009E0905">
        <w:rPr>
          <w:rFonts w:ascii="Open Sans" w:hAnsi="Open Sans" w:cs="Open Sans"/>
          <w:b/>
          <w:bCs/>
          <w:color w:val="000000"/>
        </w:rPr>
        <w:t>Santa Cruz de Tenerife (8,2%), vemos que suman unos 136 euros por metro cuadrado al mes</w:t>
      </w:r>
      <w:r w:rsidRPr="009E0905">
        <w:rPr>
          <w:rFonts w:ascii="Open Sans" w:hAnsi="Open Sans" w:cs="Open Sans"/>
          <w:color w:val="000000"/>
        </w:rPr>
        <w:t>. Es decir, por una vivienda de 80 metros en Santa Cruz de Tenerife se está pagando 10.878 euros más en junio de 2019 (1.792 €/m</w:t>
      </w:r>
      <w:r w:rsidRPr="009E0905">
        <w:rPr>
          <w:rFonts w:ascii="Open Sans" w:hAnsi="Open Sans" w:cs="Open Sans"/>
          <w:color w:val="000000"/>
          <w:vertAlign w:val="superscript"/>
        </w:rPr>
        <w:t>2</w:t>
      </w:r>
      <w:r w:rsidRPr="009E0905">
        <w:rPr>
          <w:rFonts w:ascii="Open Sans" w:hAnsi="Open Sans" w:cs="Open Sans"/>
          <w:color w:val="000000"/>
        </w:rPr>
        <w:t>) que en diciembre de 2018 (1.656 €/m</w:t>
      </w:r>
      <w:r w:rsidRPr="009E0905">
        <w:rPr>
          <w:rFonts w:ascii="Open Sans" w:hAnsi="Open Sans" w:cs="Open Sans"/>
          <w:color w:val="000000"/>
          <w:vertAlign w:val="superscript"/>
        </w:rPr>
        <w:t>2</w:t>
      </w:r>
      <w:r w:rsidRPr="009E0905">
        <w:rPr>
          <w:rFonts w:ascii="Open Sans" w:hAnsi="Open Sans" w:cs="Open Sans"/>
          <w:color w:val="000000"/>
        </w:rPr>
        <w:t>).</w:t>
      </w:r>
    </w:p>
    <w:p w14:paraId="3347A72B" w14:textId="77777777" w:rsidR="008B228B" w:rsidRDefault="008B228B" w:rsidP="00C15353">
      <w:pPr>
        <w:spacing w:line="276" w:lineRule="auto"/>
        <w:ind w:right="-574"/>
        <w:rPr>
          <w:rFonts w:ascii="Open Sans Light" w:hAnsi="Open Sans Light" w:cs="Open Sans Light"/>
          <w:b/>
          <w:iCs/>
          <w:color w:val="303AB2"/>
          <w:sz w:val="28"/>
          <w:szCs w:val="22"/>
          <w:lang w:val="es-ES"/>
        </w:rPr>
      </w:pPr>
    </w:p>
    <w:p w14:paraId="25B63FB7" w14:textId="254E88A1" w:rsidR="0037277E" w:rsidRDefault="0037277E" w:rsidP="00C15353">
      <w:pPr>
        <w:spacing w:line="276" w:lineRule="auto"/>
        <w:ind w:right="-574"/>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 xml:space="preserve">En seis meses el precio sube un 8,8% en la ciudad de </w:t>
      </w:r>
      <w:r w:rsidRPr="0037277E">
        <w:rPr>
          <w:rFonts w:ascii="Open Sans Light" w:hAnsi="Open Sans Light" w:cs="Open Sans Light"/>
          <w:b/>
          <w:iCs/>
          <w:color w:val="303AB2"/>
          <w:sz w:val="28"/>
          <w:szCs w:val="22"/>
          <w:lang w:val="es-ES"/>
        </w:rPr>
        <w:t>Santa Cruz de Tenerife</w:t>
      </w:r>
      <w:r>
        <w:rPr>
          <w:rFonts w:ascii="Open Sans Light" w:hAnsi="Open Sans Light" w:cs="Open Sans Light"/>
          <w:b/>
          <w:iCs/>
          <w:color w:val="303AB2"/>
          <w:sz w:val="28"/>
          <w:szCs w:val="22"/>
          <w:lang w:val="es-ES"/>
        </w:rPr>
        <w:t xml:space="preserve"> </w:t>
      </w:r>
    </w:p>
    <w:p w14:paraId="1414F301" w14:textId="77777777" w:rsidR="0037277E" w:rsidRPr="00753088" w:rsidRDefault="0037277E" w:rsidP="00C15353">
      <w:pPr>
        <w:spacing w:line="276" w:lineRule="auto"/>
        <w:ind w:right="-574"/>
        <w:rPr>
          <w:rFonts w:ascii="Open Sans Light" w:hAnsi="Open Sans Light" w:cs="Open Sans Light"/>
          <w:b/>
          <w:iCs/>
          <w:color w:val="303AB2"/>
          <w:sz w:val="28"/>
          <w:szCs w:val="22"/>
          <w:lang w:val="es-ES"/>
        </w:rPr>
      </w:pPr>
    </w:p>
    <w:p w14:paraId="7294EEF1" w14:textId="72AC4601" w:rsidR="00355CEF" w:rsidRPr="00355CEF" w:rsidRDefault="00C15353" w:rsidP="00355CEF">
      <w:pPr>
        <w:spacing w:line="276" w:lineRule="auto"/>
        <w:ind w:right="-574"/>
        <w:jc w:val="both"/>
        <w:rPr>
          <w:rFonts w:ascii="Open Sans" w:hAnsi="Open Sans" w:cs="Open Sans"/>
          <w:color w:val="000000"/>
        </w:rPr>
      </w:pPr>
      <w:r>
        <w:rPr>
          <w:rFonts w:ascii="Open Sans" w:hAnsi="Open Sans" w:cs="Open Sans"/>
          <w:color w:val="000000"/>
        </w:rPr>
        <w:t xml:space="preserve">En cuanto a las capitales de provincia, </w:t>
      </w:r>
      <w:r w:rsidR="00355CEF">
        <w:rPr>
          <w:rFonts w:ascii="Open Sans" w:hAnsi="Open Sans" w:cs="Open Sans"/>
          <w:color w:val="000000"/>
        </w:rPr>
        <w:t>en el primer semestre de 2019</w:t>
      </w:r>
      <w:r w:rsidR="00355CEF" w:rsidRPr="00355CEF">
        <w:rPr>
          <w:rFonts w:ascii="Open Sans" w:hAnsi="Open Sans" w:cs="Open Sans"/>
          <w:color w:val="000000"/>
        </w:rPr>
        <w:t xml:space="preserve"> </w:t>
      </w:r>
      <w:r w:rsidR="00355CEF" w:rsidRPr="009E0905">
        <w:rPr>
          <w:rFonts w:ascii="Open Sans" w:hAnsi="Open Sans" w:cs="Open Sans"/>
          <w:color w:val="000000"/>
        </w:rPr>
        <w:t xml:space="preserve">el precio de la vivienda se incrementa en </w:t>
      </w:r>
      <w:r w:rsidR="00355CEF">
        <w:rPr>
          <w:rFonts w:ascii="Open Sans" w:hAnsi="Open Sans" w:cs="Open Sans"/>
          <w:color w:val="000000"/>
        </w:rPr>
        <w:t xml:space="preserve">42 </w:t>
      </w:r>
      <w:r w:rsidR="00355CEF" w:rsidRPr="009E0905">
        <w:rPr>
          <w:rFonts w:ascii="Open Sans" w:hAnsi="Open Sans" w:cs="Open Sans"/>
          <w:color w:val="000000"/>
        </w:rPr>
        <w:t xml:space="preserve">de las 50 </w:t>
      </w:r>
      <w:r w:rsidR="00355CEF">
        <w:rPr>
          <w:rFonts w:ascii="Open Sans" w:hAnsi="Open Sans" w:cs="Open Sans"/>
          <w:color w:val="000000"/>
        </w:rPr>
        <w:t xml:space="preserve">ciudades </w:t>
      </w:r>
      <w:r w:rsidR="00355CEF" w:rsidRPr="009E0905">
        <w:rPr>
          <w:rFonts w:ascii="Open Sans" w:hAnsi="Open Sans" w:cs="Open Sans"/>
          <w:color w:val="000000"/>
        </w:rPr>
        <w:t>de España</w:t>
      </w:r>
      <w:r w:rsidR="00355CEF">
        <w:rPr>
          <w:rFonts w:ascii="Open Sans" w:hAnsi="Open Sans" w:cs="Open Sans"/>
          <w:color w:val="000000"/>
        </w:rPr>
        <w:t>. L</w:t>
      </w:r>
      <w:r>
        <w:rPr>
          <w:rFonts w:ascii="Open Sans" w:hAnsi="Open Sans" w:cs="Open Sans"/>
          <w:color w:val="000000"/>
        </w:rPr>
        <w:t xml:space="preserve">os incrementos </w:t>
      </w:r>
      <w:r w:rsidR="00543129">
        <w:rPr>
          <w:rFonts w:ascii="Open Sans" w:hAnsi="Open Sans" w:cs="Open Sans"/>
          <w:color w:val="000000"/>
        </w:rPr>
        <w:t>semestrales</w:t>
      </w:r>
      <w:r>
        <w:rPr>
          <w:rFonts w:ascii="Open Sans" w:hAnsi="Open Sans" w:cs="Open Sans"/>
          <w:color w:val="000000"/>
        </w:rPr>
        <w:t xml:space="preserve"> van desde el </w:t>
      </w:r>
      <w:r w:rsidR="00355CEF">
        <w:rPr>
          <w:rFonts w:ascii="Open Sans" w:hAnsi="Open Sans" w:cs="Open Sans"/>
          <w:color w:val="000000"/>
        </w:rPr>
        <w:t>8,8</w:t>
      </w:r>
      <w:r>
        <w:rPr>
          <w:rFonts w:ascii="Open Sans" w:hAnsi="Open Sans" w:cs="Open Sans"/>
          <w:color w:val="000000"/>
        </w:rPr>
        <w:t>% de la ciudad de</w:t>
      </w:r>
      <w:r w:rsidR="00355CEF" w:rsidRPr="00355CEF">
        <w:rPr>
          <w:rFonts w:ascii="Open Sans" w:hAnsi="Open Sans" w:cs="Open Sans"/>
          <w:color w:val="000000"/>
        </w:rPr>
        <w:t xml:space="preserve"> Santa Cruz de Tenerife</w:t>
      </w:r>
      <w:r w:rsidR="00355CEF">
        <w:rPr>
          <w:rFonts w:ascii="Open Sans" w:hAnsi="Open Sans" w:cs="Open Sans"/>
          <w:color w:val="000000"/>
        </w:rPr>
        <w:t xml:space="preserve"> </w:t>
      </w:r>
      <w:r>
        <w:rPr>
          <w:rFonts w:ascii="Open Sans" w:hAnsi="Open Sans" w:cs="Open Sans"/>
          <w:color w:val="000000"/>
        </w:rPr>
        <w:t xml:space="preserve">hasta el </w:t>
      </w:r>
      <w:r w:rsidR="00355CEF">
        <w:rPr>
          <w:rFonts w:ascii="Open Sans" w:hAnsi="Open Sans" w:cs="Open Sans"/>
          <w:color w:val="000000"/>
        </w:rPr>
        <w:t>0,04</w:t>
      </w:r>
      <w:r>
        <w:rPr>
          <w:rFonts w:ascii="Open Sans" w:hAnsi="Open Sans" w:cs="Open Sans"/>
          <w:color w:val="000000"/>
        </w:rPr>
        <w:t xml:space="preserve">% de </w:t>
      </w:r>
      <w:r w:rsidR="00355CEF">
        <w:rPr>
          <w:rFonts w:ascii="Open Sans" w:hAnsi="Open Sans" w:cs="Open Sans"/>
          <w:color w:val="000000"/>
        </w:rPr>
        <w:t>Jaén</w:t>
      </w:r>
      <w:r>
        <w:rPr>
          <w:rFonts w:ascii="Open Sans" w:hAnsi="Open Sans" w:cs="Open Sans"/>
          <w:color w:val="000000"/>
        </w:rPr>
        <w:t xml:space="preserve">. </w:t>
      </w:r>
      <w:r w:rsidR="00355CEF" w:rsidRPr="00355CEF">
        <w:rPr>
          <w:rFonts w:ascii="Open Sans" w:hAnsi="Open Sans" w:cs="Open Sans"/>
          <w:color w:val="000000"/>
        </w:rPr>
        <w:t xml:space="preserve">Por otro lado, las capitales de Lleida, Tarragona y Ávila son las que más descienden su precio semestral en junio con un -4,9%, un </w:t>
      </w:r>
      <w:r w:rsidR="001F1FFC">
        <w:rPr>
          <w:rFonts w:ascii="Open Sans" w:hAnsi="Open Sans" w:cs="Open Sans"/>
          <w:color w:val="000000"/>
        </w:rPr>
        <w:t>-</w:t>
      </w:r>
      <w:r w:rsidR="00355CEF" w:rsidRPr="00355CEF">
        <w:rPr>
          <w:rFonts w:ascii="Open Sans" w:hAnsi="Open Sans" w:cs="Open Sans"/>
          <w:color w:val="000000"/>
        </w:rPr>
        <w:t xml:space="preserve">2,4% y un </w:t>
      </w:r>
      <w:r w:rsidR="001F1FFC">
        <w:rPr>
          <w:rFonts w:ascii="Open Sans" w:hAnsi="Open Sans" w:cs="Open Sans"/>
          <w:color w:val="000000"/>
        </w:rPr>
        <w:t>-</w:t>
      </w:r>
      <w:r w:rsidR="00355CEF" w:rsidRPr="00355CEF">
        <w:rPr>
          <w:rFonts w:ascii="Open Sans" w:hAnsi="Open Sans" w:cs="Open Sans"/>
          <w:color w:val="000000"/>
        </w:rPr>
        <w:t>2,2%, respectivamente. En el resto de las capitales que descienden (</w:t>
      </w:r>
      <w:r w:rsidR="0037277E">
        <w:rPr>
          <w:rFonts w:ascii="Open Sans" w:hAnsi="Open Sans" w:cs="Open Sans"/>
          <w:color w:val="000000"/>
        </w:rPr>
        <w:t>5</w:t>
      </w:r>
      <w:r w:rsidR="00355CEF" w:rsidRPr="00355CEF">
        <w:rPr>
          <w:rFonts w:ascii="Open Sans" w:hAnsi="Open Sans" w:cs="Open Sans"/>
          <w:color w:val="000000"/>
        </w:rPr>
        <w:t xml:space="preserve">) los valores están por debajo del -2%. </w:t>
      </w:r>
    </w:p>
    <w:p w14:paraId="3F22D0D5" w14:textId="77777777" w:rsidR="00355CEF" w:rsidRPr="00355CEF" w:rsidRDefault="00355CEF" w:rsidP="00B01FD5">
      <w:pPr>
        <w:spacing w:line="276" w:lineRule="auto"/>
        <w:ind w:right="-574"/>
        <w:jc w:val="both"/>
        <w:rPr>
          <w:rFonts w:ascii="Open Sans" w:hAnsi="Open Sans" w:cs="Open Sans"/>
          <w:color w:val="000000"/>
        </w:rPr>
      </w:pPr>
    </w:p>
    <w:p w14:paraId="269DDAAC" w14:textId="277065EE" w:rsidR="00B01FD5" w:rsidRPr="008B385A" w:rsidRDefault="00355CEF" w:rsidP="00B01FD5">
      <w:pPr>
        <w:spacing w:line="276" w:lineRule="auto"/>
        <w:ind w:right="-574"/>
        <w:jc w:val="both"/>
        <w:rPr>
          <w:rFonts w:ascii="Open Sans" w:hAnsi="Open Sans" w:cs="Open Sans"/>
          <w:color w:val="000000"/>
          <w:highlight w:val="cyan"/>
        </w:rPr>
      </w:pPr>
      <w:r w:rsidRPr="00355CEF">
        <w:rPr>
          <w:rFonts w:ascii="Open Sans" w:hAnsi="Open Sans" w:cs="Open Sans"/>
          <w:color w:val="000000"/>
        </w:rPr>
        <w:t xml:space="preserve">Si calculamos las variaciones semestrales en euros, </w:t>
      </w:r>
      <w:r w:rsidRPr="00D91516">
        <w:rPr>
          <w:rFonts w:ascii="Open Sans" w:hAnsi="Open Sans" w:cs="Open Sans"/>
          <w:b/>
          <w:color w:val="000000"/>
        </w:rPr>
        <w:t>l</w:t>
      </w:r>
      <w:r w:rsidR="00B01FD5" w:rsidRPr="00355CEF">
        <w:rPr>
          <w:rFonts w:ascii="Open Sans" w:hAnsi="Open Sans" w:cs="Open Sans"/>
          <w:b/>
          <w:bCs/>
          <w:color w:val="000000"/>
        </w:rPr>
        <w:t xml:space="preserve">a ciudad que más incremento semestral tiene en España es </w:t>
      </w:r>
      <w:bookmarkStart w:id="1" w:name="_Hlk12385956"/>
      <w:r w:rsidR="00B01FD5" w:rsidRPr="00355CEF">
        <w:rPr>
          <w:rFonts w:ascii="Open Sans" w:hAnsi="Open Sans" w:cs="Open Sans"/>
          <w:b/>
          <w:bCs/>
          <w:color w:val="000000"/>
        </w:rPr>
        <w:t xml:space="preserve">Santa Cruz de Tenerife </w:t>
      </w:r>
      <w:bookmarkEnd w:id="1"/>
      <w:r w:rsidR="00B01FD5" w:rsidRPr="00355CEF">
        <w:rPr>
          <w:rFonts w:ascii="Open Sans" w:hAnsi="Open Sans" w:cs="Open Sans"/>
          <w:b/>
          <w:bCs/>
          <w:color w:val="000000"/>
        </w:rPr>
        <w:t>con un 8,8%, unos 129 euros más por metro cuadrado.</w:t>
      </w:r>
      <w:r w:rsidR="00B01FD5" w:rsidRPr="00355CEF">
        <w:rPr>
          <w:rFonts w:ascii="Open Sans" w:hAnsi="Open Sans" w:cs="Open Sans"/>
          <w:color w:val="000000"/>
        </w:rPr>
        <w:t xml:space="preserve">  Es decir, por una vivienda de 80 metros en </w:t>
      </w:r>
      <w:r w:rsidR="005B335C">
        <w:rPr>
          <w:rFonts w:ascii="Open Sans" w:hAnsi="Open Sans" w:cs="Open Sans"/>
          <w:color w:val="000000"/>
        </w:rPr>
        <w:t xml:space="preserve">la ciudad de </w:t>
      </w:r>
      <w:r w:rsidR="00B01FD5" w:rsidRPr="00355CEF">
        <w:rPr>
          <w:rFonts w:ascii="Open Sans" w:hAnsi="Open Sans" w:cs="Open Sans"/>
          <w:color w:val="000000"/>
        </w:rPr>
        <w:t>Santa Cruz de Tenerife se está pagando 10.341 euros más en junio de 2019 (1.591 €/m</w:t>
      </w:r>
      <w:r w:rsidR="00B01FD5" w:rsidRPr="00355CEF">
        <w:rPr>
          <w:rFonts w:ascii="Open Sans" w:hAnsi="Open Sans" w:cs="Open Sans"/>
          <w:color w:val="000000"/>
          <w:vertAlign w:val="superscript"/>
        </w:rPr>
        <w:t>2</w:t>
      </w:r>
      <w:r w:rsidR="00B01FD5" w:rsidRPr="00355CEF">
        <w:rPr>
          <w:rFonts w:ascii="Open Sans" w:hAnsi="Open Sans" w:cs="Open Sans"/>
          <w:color w:val="000000"/>
        </w:rPr>
        <w:t>) que en diciembre de 2018 (1.462 €/m</w:t>
      </w:r>
      <w:r w:rsidR="00B01FD5" w:rsidRPr="00355CEF">
        <w:rPr>
          <w:rFonts w:ascii="Open Sans" w:hAnsi="Open Sans" w:cs="Open Sans"/>
          <w:color w:val="000000"/>
          <w:vertAlign w:val="superscript"/>
        </w:rPr>
        <w:t>2</w:t>
      </w:r>
      <w:r w:rsidR="00B01FD5" w:rsidRPr="00355CEF">
        <w:rPr>
          <w:rFonts w:ascii="Open Sans" w:hAnsi="Open Sans" w:cs="Open Sans"/>
          <w:color w:val="000000"/>
        </w:rPr>
        <w:t>).</w:t>
      </w:r>
    </w:p>
    <w:p w14:paraId="64EECF33" w14:textId="6F6D7160" w:rsidR="00C15353" w:rsidRDefault="00953F07" w:rsidP="00C15353">
      <w:pPr>
        <w:pStyle w:val="NormalWeb"/>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289</w:t>
      </w:r>
      <w:r w:rsidR="00C15353" w:rsidRPr="00753088">
        <w:rPr>
          <w:rFonts w:ascii="Open Sans Light" w:hAnsi="Open Sans Light" w:cs="Open Sans Light"/>
          <w:b/>
          <w:iCs/>
          <w:color w:val="303AB2"/>
          <w:sz w:val="28"/>
          <w:szCs w:val="22"/>
        </w:rPr>
        <w:t xml:space="preserve"> municipios </w:t>
      </w:r>
      <w:r>
        <w:rPr>
          <w:rFonts w:ascii="Open Sans Light" w:hAnsi="Open Sans Light" w:cs="Open Sans Light"/>
          <w:b/>
          <w:iCs/>
          <w:color w:val="303AB2"/>
          <w:sz w:val="28"/>
          <w:szCs w:val="22"/>
        </w:rPr>
        <w:t>españoles</w:t>
      </w:r>
      <w:r w:rsidR="00C15353" w:rsidRPr="00753088">
        <w:rPr>
          <w:rFonts w:ascii="Open Sans Light" w:hAnsi="Open Sans Light" w:cs="Open Sans Light"/>
          <w:b/>
          <w:iCs/>
          <w:color w:val="303AB2"/>
          <w:sz w:val="28"/>
          <w:szCs w:val="22"/>
        </w:rPr>
        <w:t xml:space="preserve"> </w:t>
      </w:r>
      <w:r>
        <w:rPr>
          <w:rFonts w:ascii="Open Sans Light" w:hAnsi="Open Sans Light" w:cs="Open Sans Light"/>
          <w:b/>
          <w:iCs/>
          <w:color w:val="303AB2"/>
          <w:sz w:val="28"/>
          <w:szCs w:val="22"/>
        </w:rPr>
        <w:t xml:space="preserve">eran más económicos en diciembre </w:t>
      </w:r>
      <w:r w:rsidR="00C15353" w:rsidRPr="00753088">
        <w:rPr>
          <w:rFonts w:ascii="Open Sans Light" w:hAnsi="Open Sans Light" w:cs="Open Sans Light"/>
          <w:b/>
          <w:iCs/>
          <w:color w:val="303AB2"/>
          <w:sz w:val="28"/>
          <w:szCs w:val="22"/>
        </w:rPr>
        <w:t xml:space="preserve"> </w:t>
      </w:r>
    </w:p>
    <w:p w14:paraId="388FB869" w14:textId="0A45EA80" w:rsidR="00C15353" w:rsidRDefault="00C15353" w:rsidP="00C15353">
      <w:pPr>
        <w:pStyle w:val="NormalWeb"/>
        <w:spacing w:after="225" w:line="276" w:lineRule="auto"/>
        <w:ind w:right="-574"/>
        <w:jc w:val="both"/>
        <w:rPr>
          <w:rFonts w:ascii="Open Sans" w:hAnsi="Open Sans" w:cs="Open Sans"/>
          <w:color w:val="000000"/>
        </w:rPr>
      </w:pPr>
      <w:r w:rsidRPr="00753088">
        <w:rPr>
          <w:rFonts w:ascii="Open Sans" w:hAnsi="Open Sans" w:cs="Open Sans"/>
          <w:color w:val="000000"/>
        </w:rPr>
        <w:t xml:space="preserve">El precio medio de la vivienda de segunda mano aumenta en </w:t>
      </w:r>
      <w:r>
        <w:rPr>
          <w:rFonts w:ascii="Open Sans" w:hAnsi="Open Sans" w:cs="Open Sans"/>
          <w:color w:val="000000"/>
        </w:rPr>
        <w:t xml:space="preserve">el primer semestre de 2019 </w:t>
      </w:r>
      <w:r w:rsidRPr="00753088">
        <w:rPr>
          <w:rFonts w:ascii="Open Sans" w:hAnsi="Open Sans" w:cs="Open Sans"/>
          <w:color w:val="000000"/>
        </w:rPr>
        <w:t xml:space="preserve">en </w:t>
      </w:r>
      <w:r w:rsidR="00953F07">
        <w:rPr>
          <w:rFonts w:ascii="Open Sans" w:hAnsi="Open Sans" w:cs="Open Sans"/>
          <w:color w:val="000000"/>
        </w:rPr>
        <w:t>289</w:t>
      </w:r>
      <w:r w:rsidRPr="00753088">
        <w:rPr>
          <w:rFonts w:ascii="Open Sans" w:hAnsi="Open Sans" w:cs="Open Sans"/>
          <w:color w:val="000000"/>
        </w:rPr>
        <w:t xml:space="preserve"> de los </w:t>
      </w:r>
      <w:r w:rsidR="00953F07">
        <w:rPr>
          <w:rFonts w:ascii="Open Sans" w:hAnsi="Open Sans" w:cs="Open Sans"/>
          <w:color w:val="000000"/>
        </w:rPr>
        <w:t>576</w:t>
      </w:r>
      <w:r w:rsidRPr="00753088">
        <w:rPr>
          <w:rFonts w:ascii="Open Sans" w:hAnsi="Open Sans" w:cs="Open Sans"/>
          <w:color w:val="000000"/>
        </w:rPr>
        <w:t xml:space="preserve"> municipios analizados por </w:t>
      </w:r>
      <w:hyperlink r:id="rId13" w:history="1">
        <w:r w:rsidRPr="00B10769">
          <w:rPr>
            <w:rStyle w:val="Hipervnculo"/>
            <w:rFonts w:ascii="Open Sans" w:hAnsi="Open Sans" w:cs="Open Sans"/>
            <w:b/>
            <w:bCs/>
          </w:rPr>
          <w:t>Fotocasa</w:t>
        </w:r>
      </w:hyperlink>
      <w:r w:rsidRPr="00753088">
        <w:rPr>
          <w:rFonts w:ascii="Open Sans" w:hAnsi="Open Sans" w:cs="Open Sans"/>
          <w:color w:val="000000"/>
        </w:rPr>
        <w:t xml:space="preserve">. </w:t>
      </w:r>
      <w:r>
        <w:rPr>
          <w:rFonts w:ascii="Open Sans" w:hAnsi="Open Sans" w:cs="Open Sans"/>
          <w:color w:val="000000"/>
        </w:rPr>
        <w:t xml:space="preserve">En </w:t>
      </w:r>
      <w:r w:rsidR="00953F07">
        <w:rPr>
          <w:rFonts w:ascii="Open Sans" w:hAnsi="Open Sans" w:cs="Open Sans"/>
          <w:color w:val="000000"/>
        </w:rPr>
        <w:t>Girona</w:t>
      </w:r>
      <w:r w:rsidR="00953F07" w:rsidRPr="00953F07">
        <w:rPr>
          <w:rFonts w:ascii="Open Sans" w:hAnsi="Open Sans" w:cs="Open Sans"/>
          <w:color w:val="000000"/>
        </w:rPr>
        <w:t xml:space="preserve"> </w:t>
      </w:r>
      <w:r>
        <w:rPr>
          <w:rFonts w:ascii="Open Sans" w:hAnsi="Open Sans" w:cs="Open Sans"/>
          <w:color w:val="000000"/>
        </w:rPr>
        <w:t xml:space="preserve">se detecta el mayor incremento semestral de España, en concreto el </w:t>
      </w:r>
      <w:r w:rsidR="00953F07">
        <w:rPr>
          <w:rFonts w:ascii="Open Sans" w:hAnsi="Open Sans" w:cs="Open Sans"/>
          <w:color w:val="000000"/>
        </w:rPr>
        <w:t>29,6</w:t>
      </w:r>
      <w:r>
        <w:rPr>
          <w:rFonts w:ascii="Open Sans" w:hAnsi="Open Sans" w:cs="Open Sans"/>
          <w:color w:val="000000"/>
        </w:rPr>
        <w:t xml:space="preserve">% detectado en el municipio </w:t>
      </w:r>
      <w:r w:rsidR="00500E90">
        <w:rPr>
          <w:rFonts w:ascii="Open Sans" w:hAnsi="Open Sans" w:cs="Open Sans"/>
          <w:color w:val="000000"/>
        </w:rPr>
        <w:t xml:space="preserve">de </w:t>
      </w:r>
      <w:r w:rsidR="00953F07" w:rsidRPr="00953F07">
        <w:rPr>
          <w:rFonts w:ascii="Open Sans" w:hAnsi="Open Sans" w:cs="Open Sans"/>
          <w:color w:val="000000"/>
        </w:rPr>
        <w:t>Ripoll</w:t>
      </w:r>
      <w:r>
        <w:rPr>
          <w:rFonts w:ascii="Open Sans" w:hAnsi="Open Sans" w:cs="Open Sans"/>
          <w:color w:val="000000"/>
        </w:rPr>
        <w:t xml:space="preserve">. Le sigue el municipio </w:t>
      </w:r>
      <w:r w:rsidR="00953F07">
        <w:rPr>
          <w:rFonts w:ascii="Open Sans" w:hAnsi="Open Sans" w:cs="Open Sans"/>
          <w:color w:val="000000"/>
        </w:rPr>
        <w:t>gironés de</w:t>
      </w:r>
      <w:r>
        <w:rPr>
          <w:rFonts w:ascii="Open Sans" w:hAnsi="Open Sans" w:cs="Open Sans"/>
          <w:color w:val="000000"/>
        </w:rPr>
        <w:t xml:space="preserve"> </w:t>
      </w:r>
      <w:r w:rsidR="00953F07" w:rsidRPr="00953F07">
        <w:rPr>
          <w:rFonts w:ascii="Open Sans" w:hAnsi="Open Sans" w:cs="Open Sans"/>
          <w:color w:val="000000"/>
        </w:rPr>
        <w:t xml:space="preserve">Santa Coloma de Farners </w:t>
      </w:r>
      <w:r>
        <w:rPr>
          <w:rFonts w:ascii="Open Sans" w:hAnsi="Open Sans" w:cs="Open Sans"/>
          <w:color w:val="000000"/>
        </w:rPr>
        <w:t>(</w:t>
      </w:r>
      <w:r w:rsidR="00953F07">
        <w:rPr>
          <w:rFonts w:ascii="Open Sans" w:hAnsi="Open Sans" w:cs="Open Sans"/>
          <w:color w:val="000000"/>
        </w:rPr>
        <w:t>26,8</w:t>
      </w:r>
      <w:r>
        <w:rPr>
          <w:rFonts w:ascii="Open Sans" w:hAnsi="Open Sans" w:cs="Open Sans"/>
          <w:color w:val="000000"/>
        </w:rPr>
        <w:t xml:space="preserve">%) y </w:t>
      </w:r>
      <w:r w:rsidR="00953F07">
        <w:rPr>
          <w:rFonts w:ascii="Open Sans" w:hAnsi="Open Sans" w:cs="Open Sans"/>
          <w:color w:val="000000"/>
        </w:rPr>
        <w:t xml:space="preserve">el Toledano de </w:t>
      </w:r>
      <w:r w:rsidR="00953F07" w:rsidRPr="00953F07">
        <w:rPr>
          <w:rFonts w:ascii="Open Sans" w:hAnsi="Open Sans" w:cs="Open Sans"/>
          <w:color w:val="000000"/>
        </w:rPr>
        <w:t xml:space="preserve">Fuensalida </w:t>
      </w:r>
      <w:r>
        <w:rPr>
          <w:rFonts w:ascii="Open Sans" w:hAnsi="Open Sans" w:cs="Open Sans"/>
          <w:color w:val="000000"/>
        </w:rPr>
        <w:t>(</w:t>
      </w:r>
      <w:r w:rsidR="00953F07">
        <w:rPr>
          <w:rFonts w:ascii="Open Sans" w:hAnsi="Open Sans" w:cs="Open Sans"/>
          <w:color w:val="000000"/>
        </w:rPr>
        <w:t>25,3</w:t>
      </w:r>
      <w:r>
        <w:rPr>
          <w:rFonts w:ascii="Open Sans" w:hAnsi="Open Sans" w:cs="Open Sans"/>
          <w:color w:val="000000"/>
        </w:rPr>
        <w:t xml:space="preserve">%). </w:t>
      </w:r>
    </w:p>
    <w:p w14:paraId="757595F6" w14:textId="772A6473" w:rsidR="0068178C" w:rsidRDefault="00D52986" w:rsidP="00C15353">
      <w:pPr>
        <w:pStyle w:val="NormalWeb"/>
        <w:spacing w:after="225" w:line="276" w:lineRule="auto"/>
        <w:ind w:right="-574"/>
        <w:jc w:val="both"/>
        <w:rPr>
          <w:rFonts w:ascii="Open Sans" w:hAnsi="Open Sans" w:cs="Open Sans"/>
          <w:color w:val="000000"/>
        </w:rPr>
      </w:pPr>
      <w:r>
        <w:rPr>
          <w:rFonts w:ascii="Open Sans" w:hAnsi="Open Sans" w:cs="Open Sans"/>
          <w:color w:val="000000"/>
        </w:rPr>
        <w:lastRenderedPageBreak/>
        <w:t xml:space="preserve">Si en diciembre de 2018 ningún municipio español superaba los 5.000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rPr>
        <w:t xml:space="preserve">, en junio de 2019 los municipios de Eivissa y </w:t>
      </w:r>
      <w:r w:rsidRPr="00D52986">
        <w:rPr>
          <w:rFonts w:ascii="Open Sans" w:hAnsi="Open Sans" w:cs="Open Sans"/>
          <w:color w:val="000000"/>
        </w:rPr>
        <w:t>Donostia - San Sebastián</w:t>
      </w:r>
      <w:r>
        <w:rPr>
          <w:rFonts w:ascii="Open Sans" w:hAnsi="Open Sans" w:cs="Open Sans"/>
          <w:color w:val="000000"/>
        </w:rPr>
        <w:t xml:space="preserve"> los superan con 5.361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rPr>
        <w:t xml:space="preserve"> y 5.074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rPr>
        <w:t xml:space="preserve">, respectivamente.  </w:t>
      </w:r>
      <w:r w:rsidR="00C15353" w:rsidRPr="00653471">
        <w:rPr>
          <w:rFonts w:ascii="Open Sans" w:hAnsi="Open Sans" w:cs="Open Sans"/>
          <w:color w:val="000000"/>
        </w:rPr>
        <w:t xml:space="preserve">Por otro lado, </w:t>
      </w:r>
      <w:r w:rsidR="0068178C">
        <w:rPr>
          <w:rFonts w:ascii="Open Sans" w:hAnsi="Open Sans" w:cs="Open Sans"/>
          <w:color w:val="000000"/>
        </w:rPr>
        <w:t xml:space="preserve">el 22% de las ciudades españolas no superan los 1.000 </w:t>
      </w:r>
      <w:r w:rsidR="0068178C" w:rsidRPr="006D0120">
        <w:rPr>
          <w:rFonts w:ascii="Open Sans" w:hAnsi="Open Sans" w:cs="Open Sans"/>
          <w:color w:val="000000"/>
        </w:rPr>
        <w:t>€/m</w:t>
      </w:r>
      <w:r w:rsidR="0068178C" w:rsidRPr="006D0120">
        <w:rPr>
          <w:rFonts w:ascii="Open Sans" w:hAnsi="Open Sans" w:cs="Open Sans"/>
          <w:color w:val="000000"/>
          <w:vertAlign w:val="superscript"/>
        </w:rPr>
        <w:t>2</w:t>
      </w:r>
      <w:r w:rsidR="0068178C">
        <w:rPr>
          <w:rFonts w:ascii="Open Sans" w:hAnsi="Open Sans" w:cs="Open Sans"/>
          <w:color w:val="000000"/>
        </w:rPr>
        <w:t xml:space="preserve">, el 74% </w:t>
      </w:r>
      <w:r w:rsidR="005B335C">
        <w:rPr>
          <w:rFonts w:ascii="Open Sans" w:hAnsi="Open Sans" w:cs="Open Sans"/>
          <w:color w:val="000000"/>
        </w:rPr>
        <w:t>se encuentra</w:t>
      </w:r>
      <w:r w:rsidR="0068178C">
        <w:rPr>
          <w:rFonts w:ascii="Open Sans" w:hAnsi="Open Sans" w:cs="Open Sans"/>
          <w:color w:val="000000"/>
        </w:rPr>
        <w:t xml:space="preserve"> entre los 1.000 y 2.000 </w:t>
      </w:r>
      <w:r w:rsidR="0068178C" w:rsidRPr="006D0120">
        <w:rPr>
          <w:rFonts w:ascii="Open Sans" w:hAnsi="Open Sans" w:cs="Open Sans"/>
          <w:color w:val="000000"/>
        </w:rPr>
        <w:t>€/m</w:t>
      </w:r>
      <w:r w:rsidR="0068178C" w:rsidRPr="006D0120">
        <w:rPr>
          <w:rFonts w:ascii="Open Sans" w:hAnsi="Open Sans" w:cs="Open Sans"/>
          <w:color w:val="000000"/>
          <w:vertAlign w:val="superscript"/>
        </w:rPr>
        <w:t>2</w:t>
      </w:r>
      <w:r w:rsidR="0068178C" w:rsidRPr="0068178C">
        <w:rPr>
          <w:rFonts w:ascii="Open Sans" w:hAnsi="Open Sans" w:cs="Open Sans"/>
          <w:color w:val="000000"/>
        </w:rPr>
        <w:t>;</w:t>
      </w:r>
      <w:r w:rsidR="0068178C">
        <w:rPr>
          <w:rFonts w:ascii="Open Sans" w:hAnsi="Open Sans" w:cs="Open Sans"/>
          <w:color w:val="000000"/>
          <w:vertAlign w:val="superscript"/>
        </w:rPr>
        <w:t xml:space="preserve"> </w:t>
      </w:r>
      <w:r w:rsidR="0068178C" w:rsidRPr="0068178C">
        <w:rPr>
          <w:rFonts w:ascii="Open Sans" w:hAnsi="Open Sans" w:cs="Open Sans"/>
          <w:color w:val="000000"/>
        </w:rPr>
        <w:t>y tan solo el 4%</w:t>
      </w:r>
      <w:r w:rsidR="0068178C">
        <w:rPr>
          <w:rFonts w:ascii="Open Sans" w:hAnsi="Open Sans" w:cs="Open Sans"/>
          <w:color w:val="000000"/>
        </w:rPr>
        <w:t xml:space="preserve"> de los municipios</w:t>
      </w:r>
      <w:r w:rsidR="00837570">
        <w:rPr>
          <w:rFonts w:ascii="Open Sans" w:hAnsi="Open Sans" w:cs="Open Sans"/>
          <w:color w:val="000000"/>
        </w:rPr>
        <w:t xml:space="preserve"> supera los </w:t>
      </w:r>
      <w:r w:rsidR="0068178C">
        <w:rPr>
          <w:rFonts w:ascii="Open Sans" w:hAnsi="Open Sans" w:cs="Open Sans"/>
          <w:color w:val="000000"/>
        </w:rPr>
        <w:t xml:space="preserve">3.000 </w:t>
      </w:r>
      <w:r w:rsidR="0068178C" w:rsidRPr="006D0120">
        <w:rPr>
          <w:rFonts w:ascii="Open Sans" w:hAnsi="Open Sans" w:cs="Open Sans"/>
          <w:color w:val="000000"/>
        </w:rPr>
        <w:t>€/m</w:t>
      </w:r>
      <w:r w:rsidR="0068178C" w:rsidRPr="006D0120">
        <w:rPr>
          <w:rFonts w:ascii="Open Sans" w:hAnsi="Open Sans" w:cs="Open Sans"/>
          <w:color w:val="000000"/>
          <w:vertAlign w:val="superscript"/>
        </w:rPr>
        <w:t>2</w:t>
      </w:r>
      <w:r w:rsidR="0068178C" w:rsidRPr="0068178C">
        <w:rPr>
          <w:rFonts w:ascii="Open Sans" w:hAnsi="Open Sans" w:cs="Open Sans"/>
          <w:color w:val="000000"/>
        </w:rPr>
        <w:t>.</w:t>
      </w:r>
    </w:p>
    <w:p w14:paraId="6867BDF0" w14:textId="4E42662A" w:rsidR="005B335C" w:rsidRPr="00753088" w:rsidRDefault="004A7150" w:rsidP="005B335C">
      <w:pPr>
        <w:spacing w:line="276" w:lineRule="auto"/>
        <w:ind w:right="-574"/>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 xml:space="preserve">En seis meses se </w:t>
      </w:r>
      <w:r w:rsidR="004B17BE">
        <w:rPr>
          <w:rFonts w:ascii="Open Sans Light" w:hAnsi="Open Sans Light" w:cs="Open Sans Light"/>
          <w:b/>
          <w:iCs/>
          <w:color w:val="303AB2"/>
          <w:sz w:val="28"/>
          <w:szCs w:val="22"/>
          <w:lang w:val="es-ES"/>
        </w:rPr>
        <w:t>incrementa</w:t>
      </w:r>
      <w:r>
        <w:rPr>
          <w:rFonts w:ascii="Open Sans Light" w:hAnsi="Open Sans Light" w:cs="Open Sans Light"/>
          <w:b/>
          <w:iCs/>
          <w:color w:val="303AB2"/>
          <w:sz w:val="28"/>
          <w:szCs w:val="22"/>
          <w:lang w:val="es-ES"/>
        </w:rPr>
        <w:t xml:space="preserve"> </w:t>
      </w:r>
      <w:r w:rsidR="001E7A4B">
        <w:rPr>
          <w:rFonts w:ascii="Open Sans Light" w:hAnsi="Open Sans Light" w:cs="Open Sans Light"/>
          <w:b/>
          <w:iCs/>
          <w:color w:val="303AB2"/>
          <w:sz w:val="28"/>
          <w:szCs w:val="22"/>
          <w:lang w:val="es-ES"/>
        </w:rPr>
        <w:t xml:space="preserve">más de </w:t>
      </w:r>
      <w:r>
        <w:rPr>
          <w:rFonts w:ascii="Open Sans Light" w:hAnsi="Open Sans Light" w:cs="Open Sans Light"/>
          <w:b/>
          <w:iCs/>
          <w:color w:val="303AB2"/>
          <w:sz w:val="28"/>
          <w:szCs w:val="22"/>
          <w:lang w:val="es-ES"/>
        </w:rPr>
        <w:t>10.</w:t>
      </w:r>
      <w:r w:rsidR="005B335C">
        <w:rPr>
          <w:rFonts w:ascii="Open Sans Light" w:hAnsi="Open Sans Light" w:cs="Open Sans Light"/>
          <w:b/>
          <w:iCs/>
          <w:color w:val="303AB2"/>
          <w:sz w:val="28"/>
          <w:szCs w:val="22"/>
          <w:lang w:val="es-ES"/>
        </w:rPr>
        <w:t>000</w:t>
      </w:r>
      <w:r w:rsidR="004B17BE">
        <w:rPr>
          <w:rFonts w:ascii="Open Sans Light" w:hAnsi="Open Sans Light" w:cs="Open Sans Light"/>
          <w:b/>
          <w:iCs/>
          <w:color w:val="303AB2"/>
          <w:sz w:val="28"/>
          <w:szCs w:val="22"/>
          <w:lang w:val="es-ES"/>
        </w:rPr>
        <w:t xml:space="preserve"> €</w:t>
      </w:r>
      <w:r w:rsidR="005B335C">
        <w:rPr>
          <w:rFonts w:ascii="Open Sans Light" w:hAnsi="Open Sans Light" w:cs="Open Sans Light"/>
          <w:b/>
          <w:iCs/>
          <w:color w:val="303AB2"/>
          <w:sz w:val="28"/>
          <w:szCs w:val="22"/>
          <w:lang w:val="es-ES"/>
        </w:rPr>
        <w:t xml:space="preserve"> </w:t>
      </w:r>
      <w:r w:rsidR="004B17BE">
        <w:rPr>
          <w:rFonts w:ascii="Open Sans Light" w:hAnsi="Open Sans Light" w:cs="Open Sans Light"/>
          <w:b/>
          <w:iCs/>
          <w:color w:val="303AB2"/>
          <w:sz w:val="28"/>
          <w:szCs w:val="22"/>
          <w:lang w:val="es-ES"/>
        </w:rPr>
        <w:t xml:space="preserve">el precio de una vivienda </w:t>
      </w:r>
      <w:r w:rsidR="005B335C">
        <w:rPr>
          <w:rFonts w:ascii="Open Sans Light" w:hAnsi="Open Sans Light" w:cs="Open Sans Light"/>
          <w:b/>
          <w:iCs/>
          <w:color w:val="303AB2"/>
          <w:sz w:val="28"/>
          <w:szCs w:val="22"/>
          <w:lang w:val="es-ES"/>
        </w:rPr>
        <w:t xml:space="preserve">en Vicálvaro </w:t>
      </w:r>
      <w:r>
        <w:rPr>
          <w:rFonts w:ascii="Open Sans Light" w:hAnsi="Open Sans Light" w:cs="Open Sans Light"/>
          <w:b/>
          <w:iCs/>
          <w:color w:val="303AB2"/>
          <w:sz w:val="28"/>
          <w:szCs w:val="22"/>
          <w:lang w:val="es-ES"/>
        </w:rPr>
        <w:t>y en el Eixample</w:t>
      </w:r>
    </w:p>
    <w:p w14:paraId="6EEE7E4B" w14:textId="19DB8A15" w:rsidR="005B335C" w:rsidRDefault="005B335C" w:rsidP="005B335C">
      <w:pPr>
        <w:pStyle w:val="NormalWeb"/>
        <w:spacing w:after="225" w:line="276" w:lineRule="auto"/>
        <w:ind w:right="-574"/>
        <w:jc w:val="both"/>
        <w:rPr>
          <w:rFonts w:ascii="Open Sans" w:hAnsi="Open Sans" w:cs="Open Sans"/>
          <w:color w:val="000000"/>
        </w:rPr>
      </w:pPr>
      <w:r w:rsidRPr="00753088">
        <w:rPr>
          <w:rFonts w:ascii="Open Sans" w:hAnsi="Open Sans" w:cs="Open Sans"/>
          <w:color w:val="000000"/>
        </w:rPr>
        <w:t>El precio medio de la vivienda de segunda mano</w:t>
      </w:r>
      <w:r w:rsidR="00A56D76">
        <w:rPr>
          <w:rFonts w:ascii="Open Sans" w:hAnsi="Open Sans" w:cs="Open Sans"/>
          <w:color w:val="000000"/>
        </w:rPr>
        <w:t xml:space="preserve"> en </w:t>
      </w:r>
      <w:r w:rsidR="00A56D76" w:rsidRPr="00A56D76">
        <w:rPr>
          <w:rFonts w:ascii="Open Sans" w:hAnsi="Open Sans" w:cs="Open Sans"/>
          <w:b/>
          <w:bCs/>
          <w:color w:val="000000"/>
        </w:rPr>
        <w:t>Madrid</w:t>
      </w:r>
      <w:r w:rsidRPr="00753088">
        <w:rPr>
          <w:rFonts w:ascii="Open Sans" w:hAnsi="Open Sans" w:cs="Open Sans"/>
          <w:color w:val="000000"/>
        </w:rPr>
        <w:t xml:space="preserve"> aumenta en </w:t>
      </w:r>
      <w:r>
        <w:rPr>
          <w:rFonts w:ascii="Open Sans" w:hAnsi="Open Sans" w:cs="Open Sans"/>
          <w:color w:val="000000"/>
        </w:rPr>
        <w:t>el primer semestre de 2019 en el 81% (17 de 21) de los distritos</w:t>
      </w:r>
      <w:r w:rsidRPr="00753088">
        <w:rPr>
          <w:rFonts w:ascii="Open Sans" w:hAnsi="Open Sans" w:cs="Open Sans"/>
          <w:color w:val="000000"/>
        </w:rPr>
        <w:t xml:space="preserve"> </w:t>
      </w:r>
      <w:r>
        <w:rPr>
          <w:rFonts w:ascii="Open Sans" w:hAnsi="Open Sans" w:cs="Open Sans"/>
          <w:color w:val="000000"/>
        </w:rPr>
        <w:t>madrileños</w:t>
      </w:r>
      <w:r w:rsidRPr="00753088">
        <w:rPr>
          <w:rFonts w:ascii="Open Sans" w:hAnsi="Open Sans" w:cs="Open Sans"/>
          <w:color w:val="000000"/>
        </w:rPr>
        <w:t xml:space="preserve"> analizados por </w:t>
      </w:r>
      <w:hyperlink r:id="rId14" w:history="1">
        <w:r w:rsidRPr="00B10769">
          <w:rPr>
            <w:rStyle w:val="Hipervnculo"/>
            <w:rFonts w:ascii="Open Sans" w:hAnsi="Open Sans" w:cs="Open Sans"/>
            <w:b/>
            <w:bCs/>
          </w:rPr>
          <w:t>Fotocasa</w:t>
        </w:r>
      </w:hyperlink>
      <w:r w:rsidRPr="00753088">
        <w:rPr>
          <w:rFonts w:ascii="Open Sans" w:hAnsi="Open Sans" w:cs="Open Sans"/>
          <w:color w:val="000000"/>
        </w:rPr>
        <w:t xml:space="preserve">. </w:t>
      </w:r>
      <w:r>
        <w:rPr>
          <w:rFonts w:ascii="Open Sans" w:hAnsi="Open Sans" w:cs="Open Sans"/>
          <w:color w:val="000000"/>
        </w:rPr>
        <w:t xml:space="preserve">El incremento semestral más destacado corresponde al distrito de </w:t>
      </w:r>
      <w:r w:rsidRPr="0005122D">
        <w:rPr>
          <w:rFonts w:ascii="Open Sans" w:hAnsi="Open Sans" w:cs="Open Sans"/>
          <w:color w:val="000000"/>
        </w:rPr>
        <w:t>Vicálvaro</w:t>
      </w:r>
      <w:r>
        <w:rPr>
          <w:rFonts w:ascii="Open Sans" w:hAnsi="Open Sans" w:cs="Open Sans"/>
          <w:color w:val="000000"/>
        </w:rPr>
        <w:t xml:space="preserve"> con un 7,4%, seguida de </w:t>
      </w:r>
      <w:r w:rsidRPr="0005122D">
        <w:rPr>
          <w:rFonts w:ascii="Open Sans" w:hAnsi="Open Sans" w:cs="Open Sans"/>
          <w:color w:val="000000"/>
        </w:rPr>
        <w:t>Villa de Vallecas</w:t>
      </w:r>
      <w:r>
        <w:rPr>
          <w:rFonts w:ascii="Open Sans" w:hAnsi="Open Sans" w:cs="Open Sans"/>
          <w:color w:val="000000"/>
        </w:rPr>
        <w:t xml:space="preserve"> con un 6,8% y de Usera con un 5,8%.</w:t>
      </w:r>
    </w:p>
    <w:p w14:paraId="164D18A1" w14:textId="249A0DBA" w:rsidR="00A56D76" w:rsidRDefault="00A56D76" w:rsidP="005B335C">
      <w:pPr>
        <w:pStyle w:val="NormalWeb"/>
        <w:spacing w:after="225" w:line="276" w:lineRule="auto"/>
        <w:ind w:right="-574"/>
        <w:jc w:val="both"/>
        <w:rPr>
          <w:rFonts w:ascii="Open Sans" w:hAnsi="Open Sans" w:cs="Open Sans"/>
          <w:color w:val="000000"/>
        </w:rPr>
      </w:pPr>
      <w:r>
        <w:rPr>
          <w:rFonts w:ascii="Open Sans" w:hAnsi="Open Sans" w:cs="Open Sans"/>
          <w:color w:val="000000"/>
        </w:rPr>
        <w:t xml:space="preserve">En cuanto al precio por metro cuadrado en junio, vemos que solo cuatro distritos superan la barrera de los 5.000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y son: Salamanca (</w:t>
      </w:r>
      <w:r w:rsidR="003551A5">
        <w:rPr>
          <w:rFonts w:ascii="Open Sans" w:hAnsi="Open Sans" w:cs="Open Sans"/>
          <w:color w:val="000000"/>
        </w:rPr>
        <w:t>6.144</w:t>
      </w:r>
      <w:r>
        <w:rPr>
          <w:rFonts w:ascii="Open Sans" w:hAnsi="Open Sans" w:cs="Open Sans"/>
          <w:color w:val="000000"/>
        </w:rPr>
        <w:t xml:space="preserve">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Chamberí (5.</w:t>
      </w:r>
      <w:r w:rsidR="003551A5">
        <w:rPr>
          <w:rFonts w:ascii="Open Sans" w:hAnsi="Open Sans" w:cs="Open Sans"/>
          <w:color w:val="000000"/>
        </w:rPr>
        <w:t xml:space="preserve">468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Centro </w:t>
      </w:r>
      <w:r w:rsidR="003551A5">
        <w:rPr>
          <w:rFonts w:ascii="Open Sans" w:hAnsi="Open Sans" w:cs="Open Sans"/>
          <w:color w:val="000000"/>
        </w:rPr>
        <w:t xml:space="preserve">(5.265 </w:t>
      </w:r>
      <w:r w:rsidR="003551A5" w:rsidRPr="00C108A1">
        <w:rPr>
          <w:rFonts w:ascii="Open Sans" w:hAnsi="Open Sans" w:cs="Open Sans"/>
          <w:color w:val="000000"/>
        </w:rPr>
        <w:t>€/m</w:t>
      </w:r>
      <w:r w:rsidR="003551A5" w:rsidRPr="00C108A1">
        <w:rPr>
          <w:rFonts w:ascii="Open Sans" w:hAnsi="Open Sans" w:cs="Open Sans"/>
          <w:color w:val="000000"/>
          <w:vertAlign w:val="superscript"/>
        </w:rPr>
        <w:t>2</w:t>
      </w:r>
      <w:r w:rsidR="003551A5">
        <w:rPr>
          <w:rFonts w:ascii="Open Sans" w:hAnsi="Open Sans" w:cs="Open Sans"/>
          <w:color w:val="000000"/>
        </w:rPr>
        <w:t xml:space="preserve">) </w:t>
      </w:r>
      <w:r>
        <w:rPr>
          <w:rFonts w:ascii="Open Sans" w:hAnsi="Open Sans" w:cs="Open Sans"/>
          <w:color w:val="000000"/>
        </w:rPr>
        <w:t xml:space="preserve">y </w:t>
      </w:r>
      <w:r w:rsidR="003551A5" w:rsidRPr="003551A5">
        <w:rPr>
          <w:rFonts w:ascii="Open Sans" w:hAnsi="Open Sans" w:cs="Open Sans"/>
          <w:color w:val="000000"/>
        </w:rPr>
        <w:t xml:space="preserve">Chamartín </w:t>
      </w:r>
      <w:r>
        <w:rPr>
          <w:rFonts w:ascii="Open Sans" w:hAnsi="Open Sans" w:cs="Open Sans"/>
          <w:color w:val="000000"/>
        </w:rPr>
        <w:t xml:space="preserve">(5.003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Por otro lado, tan solo dos distritos madrileños tienen un precio por debajo de los 2.000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y son: Puente de Vallecas (1.996 </w:t>
      </w:r>
      <w:r w:rsidRPr="00C108A1">
        <w:rPr>
          <w:rFonts w:ascii="Open Sans" w:hAnsi="Open Sans" w:cs="Open Sans"/>
          <w:color w:val="000000"/>
        </w:rPr>
        <w:t>€/m</w:t>
      </w:r>
      <w:r w:rsidRPr="00C108A1">
        <w:rPr>
          <w:rFonts w:ascii="Open Sans" w:hAnsi="Open Sans" w:cs="Open Sans"/>
          <w:color w:val="000000"/>
          <w:vertAlign w:val="superscript"/>
        </w:rPr>
        <w:t>2</w:t>
      </w:r>
      <w:r w:rsidRPr="00C108A1">
        <w:rPr>
          <w:rFonts w:ascii="Open Sans" w:hAnsi="Open Sans" w:cs="Open Sans"/>
          <w:color w:val="000000"/>
        </w:rPr>
        <w:t>)</w:t>
      </w:r>
      <w:r>
        <w:rPr>
          <w:rFonts w:ascii="Open Sans" w:hAnsi="Open Sans" w:cs="Open Sans"/>
          <w:color w:val="000000"/>
        </w:rPr>
        <w:t xml:space="preserve"> y Vill</w:t>
      </w:r>
      <w:r w:rsidR="003551A5">
        <w:rPr>
          <w:rFonts w:ascii="Open Sans" w:hAnsi="Open Sans" w:cs="Open Sans"/>
          <w:color w:val="000000"/>
        </w:rPr>
        <w:t>a</w:t>
      </w:r>
      <w:r>
        <w:rPr>
          <w:rFonts w:ascii="Open Sans" w:hAnsi="Open Sans" w:cs="Open Sans"/>
          <w:color w:val="000000"/>
        </w:rPr>
        <w:t xml:space="preserve">verde (1.837 </w:t>
      </w:r>
      <w:r w:rsidRPr="00C108A1">
        <w:rPr>
          <w:rFonts w:ascii="Open Sans" w:hAnsi="Open Sans" w:cs="Open Sans"/>
          <w:color w:val="000000"/>
        </w:rPr>
        <w:t>€/m</w:t>
      </w:r>
      <w:r w:rsidRPr="00C108A1">
        <w:rPr>
          <w:rFonts w:ascii="Open Sans" w:hAnsi="Open Sans" w:cs="Open Sans"/>
          <w:color w:val="000000"/>
          <w:vertAlign w:val="superscript"/>
        </w:rPr>
        <w:t>2</w:t>
      </w:r>
      <w:r w:rsidRPr="00C108A1">
        <w:rPr>
          <w:rFonts w:ascii="Open Sans" w:hAnsi="Open Sans" w:cs="Open Sans"/>
          <w:color w:val="000000"/>
        </w:rPr>
        <w:t>)</w:t>
      </w:r>
      <w:r>
        <w:rPr>
          <w:rFonts w:ascii="Open Sans" w:hAnsi="Open Sans" w:cs="Open Sans"/>
          <w:color w:val="000000"/>
        </w:rPr>
        <w:t>.</w:t>
      </w:r>
    </w:p>
    <w:p w14:paraId="3B101B37" w14:textId="5E50B789" w:rsidR="005B335C" w:rsidRDefault="005B335C" w:rsidP="005B335C">
      <w:pPr>
        <w:spacing w:line="276" w:lineRule="auto"/>
        <w:ind w:right="-574"/>
        <w:jc w:val="both"/>
        <w:rPr>
          <w:rFonts w:ascii="Open Sans" w:hAnsi="Open Sans" w:cs="Open Sans"/>
          <w:color w:val="000000"/>
        </w:rPr>
      </w:pPr>
      <w:r>
        <w:rPr>
          <w:rFonts w:ascii="Open Sans" w:hAnsi="Open Sans" w:cs="Open Sans"/>
          <w:color w:val="000000"/>
        </w:rPr>
        <w:t xml:space="preserve">Si calculamos las variaciones semestrales en euros del distrito de </w:t>
      </w:r>
      <w:r w:rsidRPr="00C709E1">
        <w:rPr>
          <w:rFonts w:ascii="Open Sans" w:hAnsi="Open Sans" w:cs="Open Sans"/>
          <w:color w:val="000000"/>
        </w:rPr>
        <w:t xml:space="preserve">Vicálvaro </w:t>
      </w:r>
      <w:r>
        <w:rPr>
          <w:rFonts w:ascii="Open Sans" w:hAnsi="Open Sans" w:cs="Open Sans"/>
          <w:color w:val="000000"/>
        </w:rPr>
        <w:t>(7,4%), vemos que suman unos 166 euros por metro cuadrad</w:t>
      </w:r>
      <w:r w:rsidR="001E7A4B">
        <w:rPr>
          <w:rFonts w:ascii="Open Sans" w:hAnsi="Open Sans" w:cs="Open Sans"/>
          <w:color w:val="000000"/>
        </w:rPr>
        <w:t>o</w:t>
      </w:r>
      <w:r>
        <w:rPr>
          <w:rFonts w:ascii="Open Sans" w:hAnsi="Open Sans" w:cs="Open Sans"/>
          <w:color w:val="000000"/>
        </w:rPr>
        <w:t xml:space="preserve">. </w:t>
      </w:r>
      <w:r w:rsidRPr="00C108A1">
        <w:rPr>
          <w:rFonts w:ascii="Open Sans" w:hAnsi="Open Sans" w:cs="Open Sans"/>
          <w:color w:val="000000"/>
        </w:rPr>
        <w:t xml:space="preserve">Es decir, </w:t>
      </w:r>
      <w:r w:rsidRPr="00C108A1">
        <w:rPr>
          <w:rFonts w:ascii="Open Sans" w:hAnsi="Open Sans" w:cs="Open Sans"/>
          <w:b/>
          <w:bCs/>
          <w:color w:val="000000"/>
        </w:rPr>
        <w:t xml:space="preserve">por una vivienda de 80 metros </w:t>
      </w:r>
      <w:r w:rsidRPr="00DF59C8">
        <w:rPr>
          <w:rFonts w:ascii="Open Sans" w:hAnsi="Open Sans" w:cs="Open Sans"/>
          <w:b/>
          <w:bCs/>
          <w:color w:val="000000"/>
        </w:rPr>
        <w:t xml:space="preserve">en el distrito de </w:t>
      </w:r>
      <w:r w:rsidR="00A56D76" w:rsidRPr="00A56D76">
        <w:rPr>
          <w:rFonts w:ascii="Open Sans" w:hAnsi="Open Sans" w:cs="Open Sans"/>
          <w:b/>
          <w:bCs/>
          <w:color w:val="000000"/>
        </w:rPr>
        <w:t xml:space="preserve">Vicálvaro </w:t>
      </w:r>
      <w:r w:rsidRPr="00C108A1">
        <w:rPr>
          <w:rFonts w:ascii="Open Sans" w:hAnsi="Open Sans" w:cs="Open Sans"/>
          <w:b/>
          <w:bCs/>
          <w:color w:val="000000"/>
        </w:rPr>
        <w:t xml:space="preserve">se está pangando </w:t>
      </w:r>
      <w:r>
        <w:rPr>
          <w:rFonts w:ascii="Open Sans" w:hAnsi="Open Sans" w:cs="Open Sans"/>
          <w:b/>
          <w:bCs/>
          <w:color w:val="000000"/>
        </w:rPr>
        <w:t>13.256</w:t>
      </w:r>
      <w:r w:rsidRPr="00C108A1">
        <w:rPr>
          <w:rFonts w:ascii="Open Sans" w:hAnsi="Open Sans" w:cs="Open Sans"/>
          <w:b/>
          <w:bCs/>
          <w:color w:val="000000"/>
        </w:rPr>
        <w:t xml:space="preserve"> euros más en junio de 2019</w:t>
      </w:r>
      <w:r w:rsidRPr="00C108A1">
        <w:rPr>
          <w:rFonts w:ascii="Open Sans" w:hAnsi="Open Sans" w:cs="Open Sans"/>
          <w:color w:val="000000"/>
        </w:rPr>
        <w:t xml:space="preserve"> (</w:t>
      </w:r>
      <w:r>
        <w:rPr>
          <w:rFonts w:ascii="Open Sans" w:hAnsi="Open Sans" w:cs="Open Sans"/>
          <w:color w:val="000000"/>
        </w:rPr>
        <w:t>2.414</w:t>
      </w:r>
      <w:r w:rsidRPr="00C108A1">
        <w:rPr>
          <w:rFonts w:ascii="Open Sans" w:hAnsi="Open Sans" w:cs="Open Sans"/>
          <w:color w:val="000000"/>
        </w:rPr>
        <w:t xml:space="preserve"> €/m</w:t>
      </w:r>
      <w:r w:rsidRPr="00C108A1">
        <w:rPr>
          <w:rFonts w:ascii="Open Sans" w:hAnsi="Open Sans" w:cs="Open Sans"/>
          <w:color w:val="000000"/>
          <w:vertAlign w:val="superscript"/>
        </w:rPr>
        <w:t>2</w:t>
      </w:r>
      <w:r w:rsidRPr="00C108A1">
        <w:rPr>
          <w:rFonts w:ascii="Open Sans" w:hAnsi="Open Sans" w:cs="Open Sans"/>
          <w:color w:val="000000"/>
        </w:rPr>
        <w:t>) que en diciembre de 2018 (</w:t>
      </w:r>
      <w:r>
        <w:rPr>
          <w:rFonts w:ascii="Open Sans" w:hAnsi="Open Sans" w:cs="Open Sans"/>
          <w:color w:val="000000"/>
        </w:rPr>
        <w:t>2.248</w:t>
      </w:r>
      <w:r w:rsidRPr="00C108A1">
        <w:rPr>
          <w:rFonts w:ascii="Open Sans" w:hAnsi="Open Sans" w:cs="Open Sans"/>
          <w:color w:val="000000"/>
        </w:rPr>
        <w:t xml:space="preserve"> €/m</w:t>
      </w:r>
      <w:r w:rsidRPr="00C108A1">
        <w:rPr>
          <w:rFonts w:ascii="Open Sans" w:hAnsi="Open Sans" w:cs="Open Sans"/>
          <w:color w:val="000000"/>
          <w:vertAlign w:val="superscript"/>
        </w:rPr>
        <w:t>2</w:t>
      </w:r>
      <w:r w:rsidRPr="00C108A1">
        <w:rPr>
          <w:rFonts w:ascii="Open Sans" w:hAnsi="Open Sans" w:cs="Open Sans"/>
          <w:color w:val="000000"/>
        </w:rPr>
        <w:t>).</w:t>
      </w:r>
      <w:r>
        <w:rPr>
          <w:rFonts w:ascii="Open Sans" w:hAnsi="Open Sans" w:cs="Open Sans"/>
          <w:color w:val="000000"/>
        </w:rPr>
        <w:t xml:space="preserve"> </w:t>
      </w:r>
    </w:p>
    <w:p w14:paraId="1561E183" w14:textId="7BA0A39D" w:rsidR="00A56D76" w:rsidRDefault="00A56D76" w:rsidP="00A56D76">
      <w:pPr>
        <w:pStyle w:val="NormalWeb"/>
        <w:spacing w:after="225" w:line="276" w:lineRule="auto"/>
        <w:ind w:right="-574"/>
        <w:jc w:val="both"/>
        <w:rPr>
          <w:rFonts w:ascii="Open Sans" w:hAnsi="Open Sans" w:cs="Open Sans"/>
          <w:color w:val="000000"/>
        </w:rPr>
      </w:pPr>
      <w:r>
        <w:rPr>
          <w:rFonts w:ascii="Open Sans" w:hAnsi="Open Sans" w:cs="Open Sans"/>
          <w:color w:val="000000"/>
        </w:rPr>
        <w:t xml:space="preserve">En cuanto a </w:t>
      </w:r>
      <w:r w:rsidRPr="00A56D76">
        <w:rPr>
          <w:rFonts w:ascii="Open Sans" w:hAnsi="Open Sans" w:cs="Open Sans"/>
          <w:b/>
          <w:bCs/>
          <w:color w:val="000000"/>
        </w:rPr>
        <w:t>Barcelona</w:t>
      </w:r>
      <w:r>
        <w:rPr>
          <w:rFonts w:ascii="Open Sans" w:hAnsi="Open Sans" w:cs="Open Sans"/>
          <w:color w:val="000000"/>
        </w:rPr>
        <w:t xml:space="preserve">, todos los distritos incrementan su valor semestral del precio de junio de 2019 respecto a diciembre de 2018. El incremento semestral más destacado corresponde al distrito céntrico del Eixample con un 2,7%, seguida de Les Corts con un 2,2%. </w:t>
      </w:r>
    </w:p>
    <w:p w14:paraId="5821ABA9" w14:textId="5828AF07" w:rsidR="00A56D76" w:rsidRDefault="00A56D76" w:rsidP="00A56D76">
      <w:pPr>
        <w:pStyle w:val="NormalWeb"/>
        <w:spacing w:after="225" w:line="276" w:lineRule="auto"/>
        <w:ind w:right="-574"/>
        <w:jc w:val="both"/>
        <w:rPr>
          <w:rFonts w:ascii="Open Sans" w:hAnsi="Open Sans" w:cs="Open Sans"/>
          <w:color w:val="000000"/>
        </w:rPr>
      </w:pPr>
      <w:r>
        <w:rPr>
          <w:rFonts w:ascii="Open Sans" w:hAnsi="Open Sans" w:cs="Open Sans"/>
          <w:color w:val="000000"/>
        </w:rPr>
        <w:t xml:space="preserve">En cuanto al precio por metro cuadrado en junio, vemos que solo </w:t>
      </w:r>
      <w:r w:rsidR="000F6439">
        <w:rPr>
          <w:rFonts w:ascii="Open Sans" w:hAnsi="Open Sans" w:cs="Open Sans"/>
          <w:color w:val="000000"/>
        </w:rPr>
        <w:t>tres</w:t>
      </w:r>
      <w:r>
        <w:rPr>
          <w:rFonts w:ascii="Open Sans" w:hAnsi="Open Sans" w:cs="Open Sans"/>
          <w:color w:val="000000"/>
        </w:rPr>
        <w:t xml:space="preserve"> distritos superan la barrera de los 5.000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y son: </w:t>
      </w:r>
      <w:r w:rsidR="000F6439" w:rsidRPr="000F6439">
        <w:rPr>
          <w:rFonts w:ascii="Open Sans" w:hAnsi="Open Sans" w:cs="Open Sans"/>
          <w:color w:val="000000"/>
        </w:rPr>
        <w:t xml:space="preserve">Sarrià - Sant Gervasi </w:t>
      </w:r>
      <w:r>
        <w:rPr>
          <w:rFonts w:ascii="Open Sans" w:hAnsi="Open Sans" w:cs="Open Sans"/>
          <w:color w:val="000000"/>
        </w:rPr>
        <w:t>(5.</w:t>
      </w:r>
      <w:r w:rsidR="000F6439">
        <w:rPr>
          <w:rFonts w:ascii="Open Sans" w:hAnsi="Open Sans" w:cs="Open Sans"/>
          <w:color w:val="000000"/>
        </w:rPr>
        <w:t>662</w:t>
      </w:r>
      <w:r>
        <w:rPr>
          <w:rFonts w:ascii="Open Sans" w:hAnsi="Open Sans" w:cs="Open Sans"/>
          <w:color w:val="000000"/>
        </w:rPr>
        <w:t xml:space="preserve">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w:t>
      </w:r>
      <w:r w:rsidR="000F6439" w:rsidRPr="000F6439">
        <w:rPr>
          <w:rFonts w:ascii="Open Sans" w:hAnsi="Open Sans" w:cs="Open Sans"/>
          <w:color w:val="000000"/>
        </w:rPr>
        <w:t xml:space="preserve">Eixample </w:t>
      </w:r>
      <w:r>
        <w:rPr>
          <w:rFonts w:ascii="Open Sans" w:hAnsi="Open Sans" w:cs="Open Sans"/>
          <w:color w:val="000000"/>
        </w:rPr>
        <w:t>(5.</w:t>
      </w:r>
      <w:r w:rsidR="000F6439">
        <w:rPr>
          <w:rFonts w:ascii="Open Sans" w:hAnsi="Open Sans" w:cs="Open Sans"/>
          <w:color w:val="000000"/>
        </w:rPr>
        <w:t>280</w:t>
      </w:r>
      <w:r>
        <w:rPr>
          <w:rFonts w:ascii="Open Sans" w:hAnsi="Open Sans" w:cs="Open Sans"/>
          <w:color w:val="000000"/>
        </w:rPr>
        <w:t xml:space="preserve">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w:t>
      </w:r>
      <w:r w:rsidR="000F6439">
        <w:rPr>
          <w:rFonts w:ascii="Open Sans" w:hAnsi="Open Sans" w:cs="Open Sans"/>
          <w:color w:val="000000"/>
        </w:rPr>
        <w:t xml:space="preserve"> y </w:t>
      </w:r>
      <w:r w:rsidR="000F6439" w:rsidRPr="000F6439">
        <w:rPr>
          <w:rFonts w:ascii="Open Sans" w:hAnsi="Open Sans" w:cs="Open Sans"/>
          <w:color w:val="000000"/>
        </w:rPr>
        <w:t xml:space="preserve">Les Corts </w:t>
      </w:r>
      <w:r>
        <w:rPr>
          <w:rFonts w:ascii="Open Sans" w:hAnsi="Open Sans" w:cs="Open Sans"/>
          <w:color w:val="000000"/>
        </w:rPr>
        <w:t>(5.</w:t>
      </w:r>
      <w:r w:rsidR="000F6439">
        <w:rPr>
          <w:rFonts w:ascii="Open Sans" w:hAnsi="Open Sans" w:cs="Open Sans"/>
          <w:color w:val="000000"/>
        </w:rPr>
        <w:t>019</w:t>
      </w:r>
      <w:r>
        <w:rPr>
          <w:rFonts w:ascii="Open Sans" w:hAnsi="Open Sans" w:cs="Open Sans"/>
          <w:color w:val="000000"/>
        </w:rPr>
        <w:t xml:space="preserve">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 xml:space="preserve">). Por otro lado, tan solo </w:t>
      </w:r>
      <w:r w:rsidR="000F6439">
        <w:rPr>
          <w:rFonts w:ascii="Open Sans" w:hAnsi="Open Sans" w:cs="Open Sans"/>
          <w:color w:val="000000"/>
        </w:rPr>
        <w:t xml:space="preserve">el distrito de Nou </w:t>
      </w:r>
      <w:proofErr w:type="spellStart"/>
      <w:r w:rsidR="000F6439">
        <w:rPr>
          <w:rFonts w:ascii="Open Sans" w:hAnsi="Open Sans" w:cs="Open Sans"/>
          <w:color w:val="000000"/>
        </w:rPr>
        <w:t>Barris</w:t>
      </w:r>
      <w:proofErr w:type="spellEnd"/>
      <w:r w:rsidR="000F6439">
        <w:rPr>
          <w:rFonts w:ascii="Open Sans" w:hAnsi="Open Sans" w:cs="Open Sans"/>
          <w:color w:val="000000"/>
        </w:rPr>
        <w:t xml:space="preserve"> </w:t>
      </w:r>
      <w:r>
        <w:rPr>
          <w:rFonts w:ascii="Open Sans" w:hAnsi="Open Sans" w:cs="Open Sans"/>
          <w:color w:val="000000"/>
        </w:rPr>
        <w:t xml:space="preserve">tiene un precio por debajo de los </w:t>
      </w:r>
      <w:r w:rsidR="000F6439">
        <w:rPr>
          <w:rFonts w:ascii="Open Sans" w:hAnsi="Open Sans" w:cs="Open Sans"/>
          <w:color w:val="000000"/>
        </w:rPr>
        <w:t>3</w:t>
      </w:r>
      <w:r>
        <w:rPr>
          <w:rFonts w:ascii="Open Sans" w:hAnsi="Open Sans" w:cs="Open Sans"/>
          <w:color w:val="000000"/>
        </w:rPr>
        <w:t xml:space="preserve">.000 </w:t>
      </w:r>
      <w:r w:rsidRPr="00C108A1">
        <w:rPr>
          <w:rFonts w:ascii="Open Sans" w:hAnsi="Open Sans" w:cs="Open Sans"/>
          <w:color w:val="000000"/>
        </w:rPr>
        <w:t>€/m</w:t>
      </w:r>
      <w:r w:rsidRPr="00C108A1">
        <w:rPr>
          <w:rFonts w:ascii="Open Sans" w:hAnsi="Open Sans" w:cs="Open Sans"/>
          <w:color w:val="000000"/>
          <w:vertAlign w:val="superscript"/>
        </w:rPr>
        <w:t>2</w:t>
      </w:r>
      <w:r w:rsidR="000F6439">
        <w:rPr>
          <w:rFonts w:ascii="Open Sans" w:hAnsi="Open Sans" w:cs="Open Sans"/>
          <w:color w:val="000000"/>
        </w:rPr>
        <w:t xml:space="preserve">, en concreto 2.682 </w:t>
      </w:r>
      <w:r w:rsidRPr="00C108A1">
        <w:rPr>
          <w:rFonts w:ascii="Open Sans" w:hAnsi="Open Sans" w:cs="Open Sans"/>
          <w:color w:val="000000"/>
        </w:rPr>
        <w:t>€/m</w:t>
      </w:r>
      <w:r w:rsidRPr="00C108A1">
        <w:rPr>
          <w:rFonts w:ascii="Open Sans" w:hAnsi="Open Sans" w:cs="Open Sans"/>
          <w:color w:val="000000"/>
          <w:vertAlign w:val="superscript"/>
        </w:rPr>
        <w:t>2</w:t>
      </w:r>
      <w:r>
        <w:rPr>
          <w:rFonts w:ascii="Open Sans" w:hAnsi="Open Sans" w:cs="Open Sans"/>
          <w:color w:val="000000"/>
        </w:rPr>
        <w:t>.</w:t>
      </w:r>
    </w:p>
    <w:p w14:paraId="67150F5E" w14:textId="4CB01FF4" w:rsidR="00A56D76" w:rsidRDefault="00A56D76" w:rsidP="00A56D76">
      <w:pPr>
        <w:spacing w:line="276" w:lineRule="auto"/>
        <w:ind w:right="-574"/>
        <w:jc w:val="both"/>
        <w:rPr>
          <w:rFonts w:ascii="Open Sans" w:hAnsi="Open Sans" w:cs="Open Sans"/>
          <w:color w:val="000000"/>
        </w:rPr>
      </w:pPr>
      <w:r>
        <w:rPr>
          <w:rFonts w:ascii="Open Sans" w:hAnsi="Open Sans" w:cs="Open Sans"/>
          <w:color w:val="000000"/>
        </w:rPr>
        <w:t xml:space="preserve">Si calculamos las variaciones semestrales en euros del distrito del </w:t>
      </w:r>
      <w:r w:rsidRPr="00DF59C8">
        <w:rPr>
          <w:rFonts w:ascii="Open Sans" w:hAnsi="Open Sans" w:cs="Open Sans"/>
          <w:color w:val="000000"/>
        </w:rPr>
        <w:t xml:space="preserve">Eixample </w:t>
      </w:r>
      <w:r>
        <w:rPr>
          <w:rFonts w:ascii="Open Sans" w:hAnsi="Open Sans" w:cs="Open Sans"/>
          <w:color w:val="000000"/>
        </w:rPr>
        <w:t xml:space="preserve">(2,7%), vemos que suman unos 137 euros por metro cuadrado al mes. </w:t>
      </w:r>
      <w:r w:rsidRPr="00C108A1">
        <w:rPr>
          <w:rFonts w:ascii="Open Sans" w:hAnsi="Open Sans" w:cs="Open Sans"/>
          <w:color w:val="000000"/>
        </w:rPr>
        <w:t xml:space="preserve">Es decir, </w:t>
      </w:r>
      <w:r w:rsidRPr="00C108A1">
        <w:rPr>
          <w:rFonts w:ascii="Open Sans" w:hAnsi="Open Sans" w:cs="Open Sans"/>
          <w:b/>
          <w:bCs/>
          <w:color w:val="000000"/>
        </w:rPr>
        <w:t xml:space="preserve">por una vivienda de 80 metros </w:t>
      </w:r>
      <w:r w:rsidRPr="00DF59C8">
        <w:rPr>
          <w:rFonts w:ascii="Open Sans" w:hAnsi="Open Sans" w:cs="Open Sans"/>
          <w:b/>
          <w:bCs/>
          <w:color w:val="000000"/>
        </w:rPr>
        <w:t>en el distrito del Eixample</w:t>
      </w:r>
      <w:r>
        <w:rPr>
          <w:rFonts w:ascii="Open Sans" w:hAnsi="Open Sans" w:cs="Open Sans"/>
          <w:b/>
          <w:bCs/>
          <w:color w:val="000000"/>
        </w:rPr>
        <w:t xml:space="preserve"> </w:t>
      </w:r>
      <w:r w:rsidRPr="00C108A1">
        <w:rPr>
          <w:rFonts w:ascii="Open Sans" w:hAnsi="Open Sans" w:cs="Open Sans"/>
          <w:b/>
          <w:bCs/>
          <w:color w:val="000000"/>
        </w:rPr>
        <w:t xml:space="preserve">se está pangando </w:t>
      </w:r>
      <w:r>
        <w:rPr>
          <w:rFonts w:ascii="Open Sans" w:hAnsi="Open Sans" w:cs="Open Sans"/>
          <w:b/>
          <w:bCs/>
          <w:color w:val="000000"/>
        </w:rPr>
        <w:t>10.925</w:t>
      </w:r>
      <w:r w:rsidRPr="00C108A1">
        <w:rPr>
          <w:rFonts w:ascii="Open Sans" w:hAnsi="Open Sans" w:cs="Open Sans"/>
          <w:b/>
          <w:bCs/>
          <w:color w:val="000000"/>
        </w:rPr>
        <w:t xml:space="preserve"> euros más en junio de 2019</w:t>
      </w:r>
      <w:r w:rsidRPr="00C108A1">
        <w:rPr>
          <w:rFonts w:ascii="Open Sans" w:hAnsi="Open Sans" w:cs="Open Sans"/>
          <w:color w:val="000000"/>
        </w:rPr>
        <w:t xml:space="preserve"> (</w:t>
      </w:r>
      <w:r>
        <w:rPr>
          <w:rFonts w:ascii="Open Sans" w:hAnsi="Open Sans" w:cs="Open Sans"/>
          <w:color w:val="000000"/>
        </w:rPr>
        <w:t>5.280</w:t>
      </w:r>
      <w:r w:rsidRPr="00C108A1">
        <w:rPr>
          <w:rFonts w:ascii="Open Sans" w:hAnsi="Open Sans" w:cs="Open Sans"/>
          <w:color w:val="000000"/>
        </w:rPr>
        <w:t xml:space="preserve"> €/m</w:t>
      </w:r>
      <w:r w:rsidRPr="00C108A1">
        <w:rPr>
          <w:rFonts w:ascii="Open Sans" w:hAnsi="Open Sans" w:cs="Open Sans"/>
          <w:color w:val="000000"/>
          <w:vertAlign w:val="superscript"/>
        </w:rPr>
        <w:t>2</w:t>
      </w:r>
      <w:r w:rsidRPr="00C108A1">
        <w:rPr>
          <w:rFonts w:ascii="Open Sans" w:hAnsi="Open Sans" w:cs="Open Sans"/>
          <w:color w:val="000000"/>
        </w:rPr>
        <w:t>) que en diciembre de 2018 (</w:t>
      </w:r>
      <w:r>
        <w:rPr>
          <w:rFonts w:ascii="Open Sans" w:hAnsi="Open Sans" w:cs="Open Sans"/>
          <w:color w:val="000000"/>
        </w:rPr>
        <w:t>5.143</w:t>
      </w:r>
      <w:r w:rsidRPr="00C108A1">
        <w:rPr>
          <w:rFonts w:ascii="Open Sans" w:hAnsi="Open Sans" w:cs="Open Sans"/>
          <w:color w:val="000000"/>
        </w:rPr>
        <w:t xml:space="preserve"> €/m</w:t>
      </w:r>
      <w:r w:rsidRPr="00C108A1">
        <w:rPr>
          <w:rFonts w:ascii="Open Sans" w:hAnsi="Open Sans" w:cs="Open Sans"/>
          <w:color w:val="000000"/>
          <w:vertAlign w:val="superscript"/>
        </w:rPr>
        <w:t>2</w:t>
      </w:r>
      <w:r w:rsidRPr="00C108A1">
        <w:rPr>
          <w:rFonts w:ascii="Open Sans" w:hAnsi="Open Sans" w:cs="Open Sans"/>
          <w:color w:val="000000"/>
        </w:rPr>
        <w:t>).</w:t>
      </w:r>
      <w:r>
        <w:rPr>
          <w:rFonts w:ascii="Open Sans" w:hAnsi="Open Sans" w:cs="Open Sans"/>
          <w:color w:val="000000"/>
        </w:rPr>
        <w:t xml:space="preserve"> </w:t>
      </w:r>
    </w:p>
    <w:p w14:paraId="1D03FEDA" w14:textId="72022DC8" w:rsidR="00125207" w:rsidRPr="00125207" w:rsidRDefault="00125207" w:rsidP="00A56D76">
      <w:pPr>
        <w:spacing w:line="276" w:lineRule="auto"/>
        <w:ind w:right="-574"/>
        <w:jc w:val="both"/>
        <w:rPr>
          <w:rFonts w:ascii="Open Sans Light" w:eastAsia="Times New Roman" w:hAnsi="Open Sans Light" w:cs="Open Sans Light"/>
          <w:b/>
          <w:iCs/>
          <w:color w:val="303AB2"/>
          <w:lang w:val="es-ES" w:eastAsia="es-ES_tradnl"/>
        </w:rPr>
      </w:pPr>
      <w:r w:rsidRPr="00125207">
        <w:rPr>
          <w:rFonts w:ascii="Open Sans Light" w:eastAsia="Times New Roman" w:hAnsi="Open Sans Light" w:cs="Open Sans Light"/>
          <w:b/>
          <w:iCs/>
          <w:color w:val="303AB2"/>
          <w:lang w:val="es-ES" w:eastAsia="es-ES_tradnl"/>
        </w:rPr>
        <w:lastRenderedPageBreak/>
        <w:t>TABLAS DE PRECIOS Y DE EVOLUCIONES</w:t>
      </w:r>
      <w:r>
        <w:rPr>
          <w:rFonts w:ascii="Open Sans Light" w:eastAsia="Times New Roman" w:hAnsi="Open Sans Light" w:cs="Open Sans Light"/>
          <w:b/>
          <w:iCs/>
          <w:color w:val="303AB2"/>
          <w:lang w:val="es-ES" w:eastAsia="es-ES_tradnl"/>
        </w:rPr>
        <w:t xml:space="preserve"> </w:t>
      </w:r>
    </w:p>
    <w:p w14:paraId="5A394904" w14:textId="1FFFCFEF" w:rsidR="00C5673A" w:rsidRPr="00C5673A" w:rsidRDefault="00C5673A" w:rsidP="00C5673A">
      <w:pPr>
        <w:pStyle w:val="NormalWeb"/>
        <w:shd w:val="clear" w:color="auto" w:fill="FFFFFF"/>
        <w:spacing w:line="276" w:lineRule="auto"/>
        <w:ind w:right="-574"/>
        <w:rPr>
          <w:rFonts w:ascii="Open Sans Light" w:hAnsi="Open Sans Light" w:cs="Open Sans Light"/>
          <w:b/>
          <w:iCs/>
          <w:color w:val="303AB2"/>
        </w:rPr>
      </w:pPr>
      <w:r w:rsidRPr="00C5673A">
        <w:rPr>
          <w:rFonts w:ascii="Open Sans Light" w:hAnsi="Open Sans Light" w:cs="Open Sans Light"/>
          <w:b/>
          <w:iCs/>
          <w:color w:val="303AB2"/>
        </w:rPr>
        <w:t>Tabla 1: CCAA de mayor a menor incremento semestral (dic.18 – jun.19)</w:t>
      </w:r>
    </w:p>
    <w:tbl>
      <w:tblPr>
        <w:tblStyle w:val="Tablaconcuadrcula5oscura-nfasis3"/>
        <w:tblW w:w="9019" w:type="dxa"/>
        <w:tblLook w:val="04A0" w:firstRow="1" w:lastRow="0" w:firstColumn="1" w:lastColumn="0" w:noHBand="0" w:noVBand="1"/>
      </w:tblPr>
      <w:tblGrid>
        <w:gridCol w:w="1979"/>
        <w:gridCol w:w="1982"/>
        <w:gridCol w:w="1846"/>
        <w:gridCol w:w="1727"/>
        <w:gridCol w:w="1485"/>
      </w:tblGrid>
      <w:tr w:rsidR="00C5673A" w:rsidRPr="00271926" w14:paraId="6CB2AAE2" w14:textId="77777777" w:rsidTr="00953F0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62B302EE" w14:textId="77777777" w:rsidR="00C5673A" w:rsidRPr="004C1FF5" w:rsidRDefault="00C5673A" w:rsidP="00953F07">
            <w:pPr>
              <w:rPr>
                <w:rFonts w:ascii="Open Sans" w:hAnsi="Open Sans" w:cs="Open Sans"/>
                <w:bCs w:val="0"/>
                <w:sz w:val="22"/>
                <w:szCs w:val="22"/>
                <w:lang w:val="es-ES"/>
              </w:rPr>
            </w:pPr>
            <w:r w:rsidRPr="004C1FF5">
              <w:rPr>
                <w:rFonts w:ascii="Open Sans" w:hAnsi="Open Sans" w:cs="Open Sans"/>
                <w:bCs w:val="0"/>
                <w:sz w:val="22"/>
                <w:szCs w:val="22"/>
                <w:lang w:val="es-ES"/>
              </w:rPr>
              <w:t>Comunidad Autónoma</w:t>
            </w:r>
          </w:p>
        </w:tc>
        <w:tc>
          <w:tcPr>
            <w:tcW w:w="1982" w:type="dxa"/>
            <w:shd w:val="clear" w:color="auto" w:fill="1DBDC5"/>
          </w:tcPr>
          <w:p w14:paraId="0884548F"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Variación</w:t>
            </w:r>
          </w:p>
          <w:p w14:paraId="57AC9B3C"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trimestral (%)</w:t>
            </w:r>
          </w:p>
        </w:tc>
        <w:tc>
          <w:tcPr>
            <w:tcW w:w="1846" w:type="dxa"/>
            <w:shd w:val="clear" w:color="auto" w:fill="1DBDC5"/>
          </w:tcPr>
          <w:p w14:paraId="13CC29DC"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Variación</w:t>
            </w:r>
          </w:p>
          <w:p w14:paraId="1A6EA754"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semestral (%)</w:t>
            </w:r>
          </w:p>
        </w:tc>
        <w:tc>
          <w:tcPr>
            <w:tcW w:w="1727" w:type="dxa"/>
            <w:shd w:val="clear" w:color="auto" w:fill="1DBDC5"/>
          </w:tcPr>
          <w:p w14:paraId="22160328"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lang w:val="es-ES"/>
              </w:rPr>
            </w:pPr>
            <w:r w:rsidRPr="00271926">
              <w:rPr>
                <w:rFonts w:ascii="Open Sans" w:hAnsi="Open Sans" w:cs="Open Sans"/>
                <w:sz w:val="22"/>
                <w:szCs w:val="22"/>
                <w:lang w:val="es-ES"/>
              </w:rPr>
              <w:t>Variación interanual</w:t>
            </w:r>
            <w:r>
              <w:rPr>
                <w:rFonts w:ascii="Open Sans" w:hAnsi="Open Sans" w:cs="Open Sans"/>
                <w:sz w:val="22"/>
                <w:szCs w:val="22"/>
                <w:lang w:val="es-ES"/>
              </w:rPr>
              <w:t xml:space="preserve"> </w:t>
            </w:r>
            <w:r w:rsidRPr="00271926">
              <w:rPr>
                <w:rFonts w:ascii="Open Sans" w:hAnsi="Open Sans" w:cs="Open Sans"/>
                <w:sz w:val="22"/>
                <w:szCs w:val="22"/>
                <w:lang w:val="es-ES"/>
              </w:rPr>
              <w:t>(%)</w:t>
            </w:r>
          </w:p>
        </w:tc>
        <w:tc>
          <w:tcPr>
            <w:tcW w:w="1485" w:type="dxa"/>
            <w:shd w:val="clear" w:color="auto" w:fill="1DBDC5"/>
          </w:tcPr>
          <w:p w14:paraId="4183CD81"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Junio 2019</w:t>
            </w:r>
          </w:p>
          <w:p w14:paraId="786F9BA3" w14:textId="77777777" w:rsidR="00C5673A" w:rsidRPr="00271926" w:rsidRDefault="00C5673A"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(€/m²)</w:t>
            </w:r>
          </w:p>
        </w:tc>
      </w:tr>
      <w:tr w:rsidR="00C5673A" w:rsidRPr="00271926" w14:paraId="7B774D32"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1D5284E2"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Madrid </w:t>
            </w:r>
          </w:p>
        </w:tc>
        <w:tc>
          <w:tcPr>
            <w:tcW w:w="1982" w:type="dxa"/>
          </w:tcPr>
          <w:p w14:paraId="01C0916C"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1,9 %</w:t>
            </w:r>
          </w:p>
        </w:tc>
        <w:tc>
          <w:tcPr>
            <w:tcW w:w="1846" w:type="dxa"/>
          </w:tcPr>
          <w:p w14:paraId="53977C01"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5,2 %</w:t>
            </w:r>
          </w:p>
        </w:tc>
        <w:tc>
          <w:tcPr>
            <w:tcW w:w="1727" w:type="dxa"/>
          </w:tcPr>
          <w:p w14:paraId="757D0CCD"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13,6 %</w:t>
            </w:r>
          </w:p>
        </w:tc>
        <w:tc>
          <w:tcPr>
            <w:tcW w:w="1485" w:type="dxa"/>
          </w:tcPr>
          <w:p w14:paraId="59610E88"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3.033 €</w:t>
            </w:r>
          </w:p>
        </w:tc>
      </w:tr>
      <w:tr w:rsidR="00C5673A" w:rsidRPr="00271926" w14:paraId="7C6472D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2AD9768B"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Canarias </w:t>
            </w:r>
          </w:p>
        </w:tc>
        <w:tc>
          <w:tcPr>
            <w:tcW w:w="1982" w:type="dxa"/>
          </w:tcPr>
          <w:p w14:paraId="73A5843D"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2,7 %</w:t>
            </w:r>
          </w:p>
        </w:tc>
        <w:tc>
          <w:tcPr>
            <w:tcW w:w="1846" w:type="dxa"/>
          </w:tcPr>
          <w:p w14:paraId="2FCF1EE2"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5,2 %</w:t>
            </w:r>
          </w:p>
        </w:tc>
        <w:tc>
          <w:tcPr>
            <w:tcW w:w="1727" w:type="dxa"/>
          </w:tcPr>
          <w:p w14:paraId="37E08E5B"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11,4 %</w:t>
            </w:r>
          </w:p>
        </w:tc>
        <w:tc>
          <w:tcPr>
            <w:tcW w:w="1485" w:type="dxa"/>
          </w:tcPr>
          <w:p w14:paraId="3CC2131F"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1.765 €</w:t>
            </w:r>
          </w:p>
        </w:tc>
      </w:tr>
      <w:tr w:rsidR="00C5673A" w:rsidRPr="00271926" w14:paraId="63DFBB0A"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34966F22"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Baleares </w:t>
            </w:r>
          </w:p>
        </w:tc>
        <w:tc>
          <w:tcPr>
            <w:tcW w:w="1982" w:type="dxa"/>
          </w:tcPr>
          <w:p w14:paraId="0A323AB4"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1,7 %</w:t>
            </w:r>
          </w:p>
        </w:tc>
        <w:tc>
          <w:tcPr>
            <w:tcW w:w="1846" w:type="dxa"/>
          </w:tcPr>
          <w:p w14:paraId="4402CC94"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5,0 %</w:t>
            </w:r>
          </w:p>
        </w:tc>
        <w:tc>
          <w:tcPr>
            <w:tcW w:w="1727" w:type="dxa"/>
          </w:tcPr>
          <w:p w14:paraId="3A6F24A8"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13,0 %</w:t>
            </w:r>
          </w:p>
        </w:tc>
        <w:tc>
          <w:tcPr>
            <w:tcW w:w="1485" w:type="dxa"/>
          </w:tcPr>
          <w:p w14:paraId="54DE012B"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2.662 €</w:t>
            </w:r>
          </w:p>
        </w:tc>
      </w:tr>
      <w:tr w:rsidR="00C5673A" w:rsidRPr="00271926" w14:paraId="6EF28239"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19176878"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Navarra </w:t>
            </w:r>
          </w:p>
        </w:tc>
        <w:tc>
          <w:tcPr>
            <w:tcW w:w="1982" w:type="dxa"/>
          </w:tcPr>
          <w:p w14:paraId="320F8468"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131384">
              <w:rPr>
                <w:rFonts w:ascii="Open Sans" w:hAnsi="Open Sans" w:cs="Open Sans"/>
                <w:color w:val="9C0006"/>
                <w:sz w:val="22"/>
                <w:szCs w:val="22"/>
              </w:rPr>
              <w:t>-1,8 %</w:t>
            </w:r>
          </w:p>
        </w:tc>
        <w:tc>
          <w:tcPr>
            <w:tcW w:w="1846" w:type="dxa"/>
          </w:tcPr>
          <w:p w14:paraId="18576832"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3,5 %</w:t>
            </w:r>
          </w:p>
        </w:tc>
        <w:tc>
          <w:tcPr>
            <w:tcW w:w="1727" w:type="dxa"/>
          </w:tcPr>
          <w:p w14:paraId="6C44F48B"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3,4 %</w:t>
            </w:r>
          </w:p>
        </w:tc>
        <w:tc>
          <w:tcPr>
            <w:tcW w:w="1485" w:type="dxa"/>
          </w:tcPr>
          <w:p w14:paraId="2C66630C"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1.642 €</w:t>
            </w:r>
          </w:p>
        </w:tc>
      </w:tr>
      <w:tr w:rsidR="00C5673A" w:rsidRPr="00271926" w14:paraId="68D0495B"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687AADC1"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Aragón </w:t>
            </w:r>
          </w:p>
        </w:tc>
        <w:tc>
          <w:tcPr>
            <w:tcW w:w="1982" w:type="dxa"/>
          </w:tcPr>
          <w:p w14:paraId="4568B86E"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0,5 %</w:t>
            </w:r>
          </w:p>
        </w:tc>
        <w:tc>
          <w:tcPr>
            <w:tcW w:w="1846" w:type="dxa"/>
          </w:tcPr>
          <w:p w14:paraId="5D781C57"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2,7 %</w:t>
            </w:r>
          </w:p>
        </w:tc>
        <w:tc>
          <w:tcPr>
            <w:tcW w:w="1727" w:type="dxa"/>
          </w:tcPr>
          <w:p w14:paraId="63E42147"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2,4 %</w:t>
            </w:r>
          </w:p>
        </w:tc>
        <w:tc>
          <w:tcPr>
            <w:tcW w:w="1485" w:type="dxa"/>
          </w:tcPr>
          <w:p w14:paraId="41DD7B4E"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1.596 €</w:t>
            </w:r>
          </w:p>
        </w:tc>
      </w:tr>
      <w:tr w:rsidR="00C5673A" w:rsidRPr="00271926" w14:paraId="00804F02"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199B2916"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Cantabria </w:t>
            </w:r>
          </w:p>
        </w:tc>
        <w:tc>
          <w:tcPr>
            <w:tcW w:w="1982" w:type="dxa"/>
          </w:tcPr>
          <w:p w14:paraId="70840296"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1,7 %</w:t>
            </w:r>
          </w:p>
        </w:tc>
        <w:tc>
          <w:tcPr>
            <w:tcW w:w="1846" w:type="dxa"/>
          </w:tcPr>
          <w:p w14:paraId="13642D48"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2,5 %</w:t>
            </w:r>
          </w:p>
        </w:tc>
        <w:tc>
          <w:tcPr>
            <w:tcW w:w="1727" w:type="dxa"/>
          </w:tcPr>
          <w:p w14:paraId="0529CF25"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2,7 %</w:t>
            </w:r>
          </w:p>
        </w:tc>
        <w:tc>
          <w:tcPr>
            <w:tcW w:w="1485" w:type="dxa"/>
          </w:tcPr>
          <w:p w14:paraId="2FFC6375"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1.749 €</w:t>
            </w:r>
          </w:p>
        </w:tc>
      </w:tr>
      <w:tr w:rsidR="00C5673A" w:rsidRPr="00271926" w14:paraId="195E057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5563A87D"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Andalucía </w:t>
            </w:r>
          </w:p>
        </w:tc>
        <w:tc>
          <w:tcPr>
            <w:tcW w:w="1982" w:type="dxa"/>
          </w:tcPr>
          <w:p w14:paraId="6B43960E"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0,1 %</w:t>
            </w:r>
          </w:p>
        </w:tc>
        <w:tc>
          <w:tcPr>
            <w:tcW w:w="1846" w:type="dxa"/>
          </w:tcPr>
          <w:p w14:paraId="1AE089CE"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2,3 %</w:t>
            </w:r>
          </w:p>
        </w:tc>
        <w:tc>
          <w:tcPr>
            <w:tcW w:w="1727" w:type="dxa"/>
          </w:tcPr>
          <w:p w14:paraId="33135AE9"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5,8 %</w:t>
            </w:r>
          </w:p>
        </w:tc>
        <w:tc>
          <w:tcPr>
            <w:tcW w:w="1485" w:type="dxa"/>
          </w:tcPr>
          <w:p w14:paraId="08936388"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1.644 €</w:t>
            </w:r>
          </w:p>
        </w:tc>
      </w:tr>
      <w:tr w:rsidR="00C5673A" w:rsidRPr="00271926" w14:paraId="57A817D0"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470379E5"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Comunitat Valenciana </w:t>
            </w:r>
          </w:p>
        </w:tc>
        <w:tc>
          <w:tcPr>
            <w:tcW w:w="1982" w:type="dxa"/>
          </w:tcPr>
          <w:p w14:paraId="6B6828B8"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0,5 %</w:t>
            </w:r>
          </w:p>
        </w:tc>
        <w:tc>
          <w:tcPr>
            <w:tcW w:w="1846" w:type="dxa"/>
          </w:tcPr>
          <w:p w14:paraId="15EF1594"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1,0 %</w:t>
            </w:r>
          </w:p>
        </w:tc>
        <w:tc>
          <w:tcPr>
            <w:tcW w:w="1727" w:type="dxa"/>
          </w:tcPr>
          <w:p w14:paraId="101B96A0"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4,0 %</w:t>
            </w:r>
          </w:p>
        </w:tc>
        <w:tc>
          <w:tcPr>
            <w:tcW w:w="1485" w:type="dxa"/>
          </w:tcPr>
          <w:p w14:paraId="0D6E3306"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1.415 €</w:t>
            </w:r>
          </w:p>
        </w:tc>
      </w:tr>
      <w:tr w:rsidR="00C5673A" w:rsidRPr="00271926" w14:paraId="717E266C"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66A66DF6"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Asturias </w:t>
            </w:r>
          </w:p>
        </w:tc>
        <w:tc>
          <w:tcPr>
            <w:tcW w:w="1982" w:type="dxa"/>
          </w:tcPr>
          <w:p w14:paraId="19D569AF"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0,3 %</w:t>
            </w:r>
          </w:p>
        </w:tc>
        <w:tc>
          <w:tcPr>
            <w:tcW w:w="1846" w:type="dxa"/>
          </w:tcPr>
          <w:p w14:paraId="2B4426F5"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0,9 %</w:t>
            </w:r>
          </w:p>
        </w:tc>
        <w:tc>
          <w:tcPr>
            <w:tcW w:w="1727" w:type="dxa"/>
          </w:tcPr>
          <w:p w14:paraId="70974A4F"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1,4 %</w:t>
            </w:r>
          </w:p>
        </w:tc>
        <w:tc>
          <w:tcPr>
            <w:tcW w:w="1485" w:type="dxa"/>
          </w:tcPr>
          <w:p w14:paraId="770AB993"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1.555 €</w:t>
            </w:r>
          </w:p>
        </w:tc>
      </w:tr>
      <w:tr w:rsidR="00C5673A" w:rsidRPr="00271926" w14:paraId="51F4E6F1"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0F94FE57"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Castilla-La Mancha </w:t>
            </w:r>
          </w:p>
        </w:tc>
        <w:tc>
          <w:tcPr>
            <w:tcW w:w="1982" w:type="dxa"/>
          </w:tcPr>
          <w:p w14:paraId="61EE01E1" w14:textId="77777777" w:rsidR="00C5673A" w:rsidRPr="00131384"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-1,2 %</w:t>
            </w:r>
          </w:p>
        </w:tc>
        <w:tc>
          <w:tcPr>
            <w:tcW w:w="1846" w:type="dxa"/>
          </w:tcPr>
          <w:p w14:paraId="02CB1060"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0,8 %</w:t>
            </w:r>
          </w:p>
        </w:tc>
        <w:tc>
          <w:tcPr>
            <w:tcW w:w="1727" w:type="dxa"/>
          </w:tcPr>
          <w:p w14:paraId="433FDB1D"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2,2 %</w:t>
            </w:r>
          </w:p>
        </w:tc>
        <w:tc>
          <w:tcPr>
            <w:tcW w:w="1485" w:type="dxa"/>
          </w:tcPr>
          <w:p w14:paraId="03C5AFC6"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1.128 €</w:t>
            </w:r>
          </w:p>
        </w:tc>
      </w:tr>
      <w:tr w:rsidR="00C5673A" w:rsidRPr="00271926" w14:paraId="740D81F3"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3B4C853E"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Región de Murcia </w:t>
            </w:r>
          </w:p>
        </w:tc>
        <w:tc>
          <w:tcPr>
            <w:tcW w:w="1982" w:type="dxa"/>
          </w:tcPr>
          <w:p w14:paraId="01A05F43" w14:textId="77777777" w:rsidR="00C5673A" w:rsidRPr="00131384"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-1,6 %</w:t>
            </w:r>
          </w:p>
        </w:tc>
        <w:tc>
          <w:tcPr>
            <w:tcW w:w="1846" w:type="dxa"/>
          </w:tcPr>
          <w:p w14:paraId="0073489D"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0,8 %</w:t>
            </w:r>
          </w:p>
        </w:tc>
        <w:tc>
          <w:tcPr>
            <w:tcW w:w="1727" w:type="dxa"/>
          </w:tcPr>
          <w:p w14:paraId="61B55626"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131384">
              <w:rPr>
                <w:rFonts w:ascii="Open Sans" w:hAnsi="Open Sans" w:cs="Open Sans"/>
                <w:color w:val="9C0006"/>
                <w:sz w:val="22"/>
                <w:szCs w:val="22"/>
              </w:rPr>
              <w:t>-1,8 %</w:t>
            </w:r>
          </w:p>
        </w:tc>
        <w:tc>
          <w:tcPr>
            <w:tcW w:w="1485" w:type="dxa"/>
          </w:tcPr>
          <w:p w14:paraId="04B6CE1B"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1.145 €</w:t>
            </w:r>
          </w:p>
        </w:tc>
      </w:tr>
      <w:tr w:rsidR="00C5673A" w:rsidRPr="00271926" w14:paraId="3A75448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453F448F"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La Rioja </w:t>
            </w:r>
          </w:p>
        </w:tc>
        <w:tc>
          <w:tcPr>
            <w:tcW w:w="1982" w:type="dxa"/>
          </w:tcPr>
          <w:p w14:paraId="2735F067"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131384">
              <w:rPr>
                <w:rFonts w:ascii="Open Sans" w:hAnsi="Open Sans" w:cs="Open Sans"/>
                <w:color w:val="9C0006"/>
                <w:sz w:val="22"/>
                <w:szCs w:val="22"/>
              </w:rPr>
              <w:t>-0,1 %</w:t>
            </w:r>
          </w:p>
        </w:tc>
        <w:tc>
          <w:tcPr>
            <w:tcW w:w="1846" w:type="dxa"/>
          </w:tcPr>
          <w:p w14:paraId="5B5459B6"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0,7 %</w:t>
            </w:r>
          </w:p>
        </w:tc>
        <w:tc>
          <w:tcPr>
            <w:tcW w:w="1727" w:type="dxa"/>
          </w:tcPr>
          <w:p w14:paraId="4E028118"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2,3 %</w:t>
            </w:r>
          </w:p>
        </w:tc>
        <w:tc>
          <w:tcPr>
            <w:tcW w:w="1485" w:type="dxa"/>
          </w:tcPr>
          <w:p w14:paraId="511F57B9"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1.401 €</w:t>
            </w:r>
          </w:p>
        </w:tc>
      </w:tr>
      <w:tr w:rsidR="00C5673A" w:rsidRPr="00271926" w14:paraId="4F3B75C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3FD2AD3C"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País Vasco </w:t>
            </w:r>
          </w:p>
        </w:tc>
        <w:tc>
          <w:tcPr>
            <w:tcW w:w="1982" w:type="dxa"/>
          </w:tcPr>
          <w:p w14:paraId="104CA77F"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0,1 %</w:t>
            </w:r>
          </w:p>
        </w:tc>
        <w:tc>
          <w:tcPr>
            <w:tcW w:w="1846" w:type="dxa"/>
          </w:tcPr>
          <w:p w14:paraId="67C27EAA"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FF0000"/>
                <w:sz w:val="22"/>
                <w:szCs w:val="22"/>
              </w:rPr>
            </w:pPr>
            <w:r w:rsidRPr="00271926">
              <w:rPr>
                <w:rFonts w:ascii="Open Sans" w:hAnsi="Open Sans" w:cs="Open Sans"/>
                <w:b/>
                <w:color w:val="000000"/>
                <w:sz w:val="22"/>
                <w:szCs w:val="22"/>
              </w:rPr>
              <w:t>0,5 %</w:t>
            </w:r>
          </w:p>
        </w:tc>
        <w:tc>
          <w:tcPr>
            <w:tcW w:w="1727" w:type="dxa"/>
          </w:tcPr>
          <w:p w14:paraId="2B821D32"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2,4 %</w:t>
            </w:r>
          </w:p>
        </w:tc>
        <w:tc>
          <w:tcPr>
            <w:tcW w:w="1485" w:type="dxa"/>
          </w:tcPr>
          <w:p w14:paraId="39A6CE0C"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2.813 €</w:t>
            </w:r>
          </w:p>
        </w:tc>
      </w:tr>
      <w:tr w:rsidR="00C5673A" w:rsidRPr="00271926" w14:paraId="0F12230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37214D52"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Cataluña </w:t>
            </w:r>
          </w:p>
        </w:tc>
        <w:tc>
          <w:tcPr>
            <w:tcW w:w="1982" w:type="dxa"/>
          </w:tcPr>
          <w:p w14:paraId="13A02553" w14:textId="77777777" w:rsidR="00C5673A" w:rsidRPr="00131384"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-0,4 %</w:t>
            </w:r>
          </w:p>
        </w:tc>
        <w:tc>
          <w:tcPr>
            <w:tcW w:w="1846" w:type="dxa"/>
          </w:tcPr>
          <w:p w14:paraId="01C48F2A"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0,1 %</w:t>
            </w:r>
          </w:p>
        </w:tc>
        <w:tc>
          <w:tcPr>
            <w:tcW w:w="1727" w:type="dxa"/>
          </w:tcPr>
          <w:p w14:paraId="6CB4DF99"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3,2 %</w:t>
            </w:r>
          </w:p>
        </w:tc>
        <w:tc>
          <w:tcPr>
            <w:tcW w:w="1485" w:type="dxa"/>
          </w:tcPr>
          <w:p w14:paraId="71F2EA44"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2.545 €</w:t>
            </w:r>
          </w:p>
        </w:tc>
      </w:tr>
      <w:tr w:rsidR="00C5673A" w:rsidRPr="00271926" w14:paraId="1BB5A31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45D65B72"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Galicia </w:t>
            </w:r>
          </w:p>
        </w:tc>
        <w:tc>
          <w:tcPr>
            <w:tcW w:w="1982" w:type="dxa"/>
          </w:tcPr>
          <w:p w14:paraId="4B7EFC14" w14:textId="77777777" w:rsidR="00C5673A" w:rsidRPr="00131384"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-1,1 %</w:t>
            </w:r>
          </w:p>
        </w:tc>
        <w:tc>
          <w:tcPr>
            <w:tcW w:w="1846" w:type="dxa"/>
          </w:tcPr>
          <w:p w14:paraId="61997909" w14:textId="77777777" w:rsidR="00C5673A" w:rsidRPr="00131384"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sidRPr="00131384">
              <w:rPr>
                <w:rFonts w:ascii="Open Sans" w:hAnsi="Open Sans" w:cs="Open Sans"/>
                <w:b/>
                <w:color w:val="9C0006"/>
                <w:sz w:val="22"/>
                <w:szCs w:val="22"/>
              </w:rPr>
              <w:t>-0,1 %</w:t>
            </w:r>
          </w:p>
        </w:tc>
        <w:tc>
          <w:tcPr>
            <w:tcW w:w="1727" w:type="dxa"/>
          </w:tcPr>
          <w:p w14:paraId="57C52C14"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0,8 %</w:t>
            </w:r>
          </w:p>
        </w:tc>
        <w:tc>
          <w:tcPr>
            <w:tcW w:w="1485" w:type="dxa"/>
          </w:tcPr>
          <w:p w14:paraId="4238E4FD"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1.617 €</w:t>
            </w:r>
          </w:p>
        </w:tc>
      </w:tr>
      <w:tr w:rsidR="00C5673A" w:rsidRPr="00271926" w14:paraId="5BD83151"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223D7EE5"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Extremadura </w:t>
            </w:r>
          </w:p>
        </w:tc>
        <w:tc>
          <w:tcPr>
            <w:tcW w:w="1982" w:type="dxa"/>
          </w:tcPr>
          <w:p w14:paraId="2C39E81E" w14:textId="77777777" w:rsidR="00C5673A" w:rsidRPr="00131384"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-0,3 %</w:t>
            </w:r>
          </w:p>
        </w:tc>
        <w:tc>
          <w:tcPr>
            <w:tcW w:w="1846" w:type="dxa"/>
          </w:tcPr>
          <w:p w14:paraId="448A80F8" w14:textId="77777777" w:rsidR="00C5673A" w:rsidRPr="00131384"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sidRPr="00131384">
              <w:rPr>
                <w:rFonts w:ascii="Open Sans" w:hAnsi="Open Sans" w:cs="Open Sans"/>
                <w:b/>
                <w:color w:val="9C0006"/>
                <w:sz w:val="22"/>
                <w:szCs w:val="22"/>
              </w:rPr>
              <w:t>-0,5 %</w:t>
            </w:r>
          </w:p>
        </w:tc>
        <w:tc>
          <w:tcPr>
            <w:tcW w:w="1727" w:type="dxa"/>
          </w:tcPr>
          <w:p w14:paraId="10827B2B"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131384">
              <w:rPr>
                <w:rFonts w:ascii="Open Sans" w:hAnsi="Open Sans" w:cs="Open Sans"/>
                <w:color w:val="9C0006"/>
                <w:sz w:val="22"/>
                <w:szCs w:val="22"/>
              </w:rPr>
              <w:t>-0,9 %</w:t>
            </w:r>
          </w:p>
        </w:tc>
        <w:tc>
          <w:tcPr>
            <w:tcW w:w="1485" w:type="dxa"/>
          </w:tcPr>
          <w:p w14:paraId="78BBE8A0"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1.105 €</w:t>
            </w:r>
          </w:p>
        </w:tc>
      </w:tr>
      <w:tr w:rsidR="00C5673A" w:rsidRPr="00271926" w14:paraId="0A59C948"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0FE8DF8C"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Castilla y León </w:t>
            </w:r>
          </w:p>
        </w:tc>
        <w:tc>
          <w:tcPr>
            <w:tcW w:w="1982" w:type="dxa"/>
          </w:tcPr>
          <w:p w14:paraId="73D4BFA5" w14:textId="77777777" w:rsidR="00C5673A" w:rsidRPr="00131384"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sidRPr="00131384">
              <w:rPr>
                <w:rFonts w:ascii="Open Sans" w:hAnsi="Open Sans" w:cs="Open Sans"/>
                <w:color w:val="9C0006"/>
                <w:sz w:val="22"/>
                <w:szCs w:val="22"/>
              </w:rPr>
              <w:t>-2,7 %</w:t>
            </w:r>
          </w:p>
        </w:tc>
        <w:tc>
          <w:tcPr>
            <w:tcW w:w="1846" w:type="dxa"/>
          </w:tcPr>
          <w:p w14:paraId="43C90936" w14:textId="77777777" w:rsidR="00C5673A" w:rsidRPr="00131384"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sidRPr="00131384">
              <w:rPr>
                <w:rFonts w:ascii="Open Sans" w:hAnsi="Open Sans" w:cs="Open Sans"/>
                <w:b/>
                <w:color w:val="9C0006"/>
                <w:sz w:val="22"/>
                <w:szCs w:val="22"/>
              </w:rPr>
              <w:t>-1,5 %</w:t>
            </w:r>
          </w:p>
        </w:tc>
        <w:tc>
          <w:tcPr>
            <w:tcW w:w="1727" w:type="dxa"/>
          </w:tcPr>
          <w:p w14:paraId="12734898"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1,0 %</w:t>
            </w:r>
          </w:p>
        </w:tc>
        <w:tc>
          <w:tcPr>
            <w:tcW w:w="1485" w:type="dxa"/>
          </w:tcPr>
          <w:p w14:paraId="6BB498E0" w14:textId="77777777" w:rsidR="00C5673A" w:rsidRPr="00271926" w:rsidRDefault="00C5673A" w:rsidP="00953F0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1.450 €</w:t>
            </w:r>
          </w:p>
        </w:tc>
      </w:tr>
      <w:tr w:rsidR="00C5673A" w:rsidRPr="00271926" w14:paraId="28573A10"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318B8508" w14:textId="77777777" w:rsidR="00C5673A" w:rsidRPr="004C1FF5" w:rsidRDefault="00C5673A" w:rsidP="00953F07">
            <w:pPr>
              <w:rPr>
                <w:rFonts w:ascii="Open Sans" w:hAnsi="Open Sans" w:cs="Open Sans"/>
                <w:b w:val="0"/>
                <w:sz w:val="22"/>
                <w:szCs w:val="22"/>
              </w:rPr>
            </w:pPr>
            <w:r w:rsidRPr="004C1FF5">
              <w:rPr>
                <w:rFonts w:ascii="Open Sans" w:hAnsi="Open Sans" w:cs="Open Sans"/>
                <w:b w:val="0"/>
                <w:sz w:val="22"/>
                <w:szCs w:val="22"/>
              </w:rPr>
              <w:t xml:space="preserve"> España </w:t>
            </w:r>
          </w:p>
        </w:tc>
        <w:tc>
          <w:tcPr>
            <w:tcW w:w="1982" w:type="dxa"/>
          </w:tcPr>
          <w:p w14:paraId="507B4E62"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color w:val="000000"/>
                <w:sz w:val="22"/>
                <w:szCs w:val="22"/>
              </w:rPr>
              <w:t>0,5 %</w:t>
            </w:r>
          </w:p>
        </w:tc>
        <w:tc>
          <w:tcPr>
            <w:tcW w:w="1846" w:type="dxa"/>
          </w:tcPr>
          <w:p w14:paraId="257AF493"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b/>
                <w:color w:val="000000"/>
                <w:sz w:val="22"/>
                <w:szCs w:val="22"/>
              </w:rPr>
              <w:t>2,2 %</w:t>
            </w:r>
          </w:p>
        </w:tc>
        <w:tc>
          <w:tcPr>
            <w:tcW w:w="1727" w:type="dxa"/>
          </w:tcPr>
          <w:p w14:paraId="79055F40"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271926">
              <w:rPr>
                <w:rFonts w:ascii="Open Sans" w:hAnsi="Open Sans" w:cs="Open Sans"/>
                <w:color w:val="000000"/>
                <w:sz w:val="22"/>
                <w:szCs w:val="22"/>
              </w:rPr>
              <w:t>5,8 %</w:t>
            </w:r>
          </w:p>
        </w:tc>
        <w:tc>
          <w:tcPr>
            <w:tcW w:w="1485" w:type="dxa"/>
          </w:tcPr>
          <w:p w14:paraId="5E240EC3" w14:textId="77777777" w:rsidR="00C5673A" w:rsidRPr="00271926" w:rsidRDefault="00C5673A" w:rsidP="00953F0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1926">
              <w:rPr>
                <w:rFonts w:ascii="Open Sans" w:hAnsi="Open Sans" w:cs="Open Sans"/>
                <w:color w:val="000000"/>
                <w:sz w:val="22"/>
                <w:szCs w:val="22"/>
              </w:rPr>
              <w:t>1.910 €</w:t>
            </w:r>
          </w:p>
        </w:tc>
      </w:tr>
    </w:tbl>
    <w:p w14:paraId="490A2B3C" w14:textId="1F55701C" w:rsidR="008B228B" w:rsidRPr="008B228B" w:rsidRDefault="008B228B" w:rsidP="008B228B">
      <w:pPr>
        <w:pStyle w:val="NormalWeb"/>
        <w:shd w:val="clear" w:color="auto" w:fill="FFFFFF"/>
        <w:spacing w:line="276" w:lineRule="auto"/>
        <w:ind w:right="-574"/>
        <w:rPr>
          <w:rFonts w:ascii="Open Sans Light" w:hAnsi="Open Sans Light" w:cs="Open Sans Light"/>
          <w:b/>
          <w:iCs/>
          <w:color w:val="303AB2"/>
          <w:szCs w:val="18"/>
        </w:rPr>
      </w:pPr>
      <w:r w:rsidRPr="008B228B">
        <w:rPr>
          <w:rFonts w:ascii="Open Sans Light" w:hAnsi="Open Sans Light" w:cs="Open Sans Light"/>
          <w:b/>
          <w:iCs/>
          <w:color w:val="303AB2"/>
          <w:szCs w:val="18"/>
        </w:rPr>
        <w:t xml:space="preserve">Tabla </w:t>
      </w:r>
      <w:r w:rsidR="00C5673A">
        <w:rPr>
          <w:rFonts w:ascii="Open Sans Light" w:hAnsi="Open Sans Light" w:cs="Open Sans Light"/>
          <w:b/>
          <w:iCs/>
          <w:color w:val="303AB2"/>
          <w:szCs w:val="18"/>
        </w:rPr>
        <w:t>2</w:t>
      </w:r>
      <w:r w:rsidRPr="008B228B">
        <w:rPr>
          <w:rFonts w:ascii="Open Sans Light" w:hAnsi="Open Sans Light" w:cs="Open Sans Light"/>
          <w:b/>
          <w:iCs/>
          <w:color w:val="303AB2"/>
          <w:szCs w:val="18"/>
        </w:rPr>
        <w:t>: Provincias de mayor a menor incremento semestral (dic.18 – jun.19)</w:t>
      </w:r>
    </w:p>
    <w:tbl>
      <w:tblPr>
        <w:tblStyle w:val="Tablaconcuadrcula5oscura-nfasis3"/>
        <w:tblW w:w="9019" w:type="dxa"/>
        <w:tblLook w:val="04A0" w:firstRow="1" w:lastRow="0" w:firstColumn="1" w:lastColumn="0" w:noHBand="0" w:noVBand="1"/>
      </w:tblPr>
      <w:tblGrid>
        <w:gridCol w:w="1979"/>
        <w:gridCol w:w="1982"/>
        <w:gridCol w:w="1846"/>
        <w:gridCol w:w="1727"/>
        <w:gridCol w:w="1485"/>
      </w:tblGrid>
      <w:tr w:rsidR="008B228B" w:rsidRPr="008B228B" w14:paraId="719248E5" w14:textId="77777777" w:rsidTr="00953F0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26297B0F" w14:textId="77777777" w:rsidR="008B228B" w:rsidRPr="008B228B" w:rsidRDefault="008B228B" w:rsidP="00953F07">
            <w:pPr>
              <w:rPr>
                <w:rFonts w:ascii="Open Sans" w:hAnsi="Open Sans" w:cs="Open Sans"/>
                <w:b w:val="0"/>
                <w:bCs w:val="0"/>
                <w:sz w:val="22"/>
                <w:szCs w:val="22"/>
                <w:lang w:val="es-ES"/>
              </w:rPr>
            </w:pPr>
            <w:r w:rsidRPr="008B228B">
              <w:rPr>
                <w:rFonts w:ascii="Open Sans" w:hAnsi="Open Sans" w:cs="Open Sans"/>
                <w:bCs w:val="0"/>
                <w:sz w:val="22"/>
                <w:szCs w:val="22"/>
                <w:lang w:val="es-ES"/>
              </w:rPr>
              <w:t>Provincia</w:t>
            </w:r>
          </w:p>
        </w:tc>
        <w:tc>
          <w:tcPr>
            <w:tcW w:w="1982" w:type="dxa"/>
            <w:shd w:val="clear" w:color="auto" w:fill="1DBDC5"/>
          </w:tcPr>
          <w:p w14:paraId="2062B542" w14:textId="77777777"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Variación</w:t>
            </w:r>
          </w:p>
          <w:p w14:paraId="05D07168" w14:textId="77777777"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trimestral (%)</w:t>
            </w:r>
          </w:p>
        </w:tc>
        <w:tc>
          <w:tcPr>
            <w:tcW w:w="1846" w:type="dxa"/>
            <w:shd w:val="clear" w:color="auto" w:fill="1DBDC5"/>
          </w:tcPr>
          <w:p w14:paraId="289B60C0" w14:textId="77777777"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Variación</w:t>
            </w:r>
          </w:p>
          <w:p w14:paraId="6BDB618A" w14:textId="021A7502"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trimestral (%)</w:t>
            </w:r>
          </w:p>
        </w:tc>
        <w:tc>
          <w:tcPr>
            <w:tcW w:w="1727" w:type="dxa"/>
            <w:shd w:val="clear" w:color="auto" w:fill="1DBDC5"/>
          </w:tcPr>
          <w:p w14:paraId="71EF5429" w14:textId="77777777" w:rsidR="008B228B" w:rsidRPr="008B228B" w:rsidRDefault="008B228B" w:rsidP="008B228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Variación</w:t>
            </w:r>
          </w:p>
          <w:p w14:paraId="5A39E963" w14:textId="057CA342" w:rsidR="008B228B" w:rsidRPr="008B228B" w:rsidRDefault="008B228B" w:rsidP="008B228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semestral (%)</w:t>
            </w:r>
          </w:p>
        </w:tc>
        <w:tc>
          <w:tcPr>
            <w:tcW w:w="1485" w:type="dxa"/>
            <w:shd w:val="clear" w:color="auto" w:fill="1DBDC5"/>
          </w:tcPr>
          <w:p w14:paraId="7ABB5759" w14:textId="77777777"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Junio 2019</w:t>
            </w:r>
          </w:p>
          <w:p w14:paraId="0012F01D" w14:textId="77777777" w:rsidR="008B228B" w:rsidRPr="008B228B" w:rsidRDefault="008B228B" w:rsidP="00953F0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B228B">
              <w:rPr>
                <w:rFonts w:ascii="Open Sans" w:hAnsi="Open Sans" w:cs="Open Sans"/>
                <w:bCs w:val="0"/>
                <w:sz w:val="22"/>
                <w:szCs w:val="22"/>
                <w:lang w:val="es-ES"/>
              </w:rPr>
              <w:t>(€/m²)</w:t>
            </w:r>
          </w:p>
        </w:tc>
      </w:tr>
      <w:tr w:rsidR="008B228B" w:rsidRPr="008B228B" w14:paraId="7B30266F"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0580305" w14:textId="26310F58"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Canarias</w:t>
            </w:r>
          </w:p>
        </w:tc>
        <w:tc>
          <w:tcPr>
            <w:tcW w:w="1982" w:type="dxa"/>
            <w:vAlign w:val="bottom"/>
          </w:tcPr>
          <w:p w14:paraId="4B787922" w14:textId="29DAB46F"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Santa Cruz de Tenerife</w:t>
            </w:r>
          </w:p>
        </w:tc>
        <w:tc>
          <w:tcPr>
            <w:tcW w:w="1846" w:type="dxa"/>
            <w:vAlign w:val="bottom"/>
          </w:tcPr>
          <w:p w14:paraId="67CBEE88" w14:textId="3EADC8E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4,9 %</w:t>
            </w:r>
          </w:p>
        </w:tc>
        <w:tc>
          <w:tcPr>
            <w:tcW w:w="1727" w:type="dxa"/>
            <w:vAlign w:val="bottom"/>
          </w:tcPr>
          <w:p w14:paraId="158AD630" w14:textId="33BB8D76"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8,2 %</w:t>
            </w:r>
          </w:p>
        </w:tc>
        <w:tc>
          <w:tcPr>
            <w:tcW w:w="1485" w:type="dxa"/>
            <w:vAlign w:val="bottom"/>
          </w:tcPr>
          <w:p w14:paraId="0A47AFCE" w14:textId="245338D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1.792 €</w:t>
            </w:r>
          </w:p>
        </w:tc>
      </w:tr>
      <w:tr w:rsidR="008B228B" w:rsidRPr="008B228B" w14:paraId="079B79E9"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13F5DCC" w14:textId="3219B637"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Cataluña</w:t>
            </w:r>
          </w:p>
        </w:tc>
        <w:tc>
          <w:tcPr>
            <w:tcW w:w="1982" w:type="dxa"/>
            <w:vAlign w:val="bottom"/>
          </w:tcPr>
          <w:p w14:paraId="76FE1D1E" w14:textId="71B040C0"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Girona</w:t>
            </w:r>
          </w:p>
        </w:tc>
        <w:tc>
          <w:tcPr>
            <w:tcW w:w="1846" w:type="dxa"/>
            <w:vAlign w:val="bottom"/>
          </w:tcPr>
          <w:p w14:paraId="0DB00914" w14:textId="468D85A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2,6 %</w:t>
            </w:r>
          </w:p>
        </w:tc>
        <w:tc>
          <w:tcPr>
            <w:tcW w:w="1727" w:type="dxa"/>
            <w:vAlign w:val="bottom"/>
          </w:tcPr>
          <w:p w14:paraId="355908FA" w14:textId="13E0B9ED"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5,3 %</w:t>
            </w:r>
          </w:p>
        </w:tc>
        <w:tc>
          <w:tcPr>
            <w:tcW w:w="1485" w:type="dxa"/>
            <w:vAlign w:val="bottom"/>
          </w:tcPr>
          <w:p w14:paraId="33BA27F4" w14:textId="4AA215B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1.989 €</w:t>
            </w:r>
          </w:p>
        </w:tc>
      </w:tr>
      <w:tr w:rsidR="008B228B" w:rsidRPr="008B228B" w14:paraId="15D7A89F"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72A090F2" w14:textId="2CB40325"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Madrid</w:t>
            </w:r>
          </w:p>
        </w:tc>
        <w:tc>
          <w:tcPr>
            <w:tcW w:w="1982" w:type="dxa"/>
            <w:vAlign w:val="bottom"/>
          </w:tcPr>
          <w:p w14:paraId="14E581B0" w14:textId="4DC5A441"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Madrid</w:t>
            </w:r>
          </w:p>
        </w:tc>
        <w:tc>
          <w:tcPr>
            <w:tcW w:w="1846" w:type="dxa"/>
            <w:vAlign w:val="bottom"/>
          </w:tcPr>
          <w:p w14:paraId="43ACF476" w14:textId="3115FB36"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1,9 %</w:t>
            </w:r>
          </w:p>
        </w:tc>
        <w:tc>
          <w:tcPr>
            <w:tcW w:w="1727" w:type="dxa"/>
            <w:vAlign w:val="bottom"/>
          </w:tcPr>
          <w:p w14:paraId="5D2B1D32" w14:textId="1436DB07"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5,2 %</w:t>
            </w:r>
          </w:p>
        </w:tc>
        <w:tc>
          <w:tcPr>
            <w:tcW w:w="1485" w:type="dxa"/>
            <w:vAlign w:val="bottom"/>
          </w:tcPr>
          <w:p w14:paraId="5A0BE832" w14:textId="45E97D1A"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3.033 €</w:t>
            </w:r>
          </w:p>
        </w:tc>
      </w:tr>
      <w:tr w:rsidR="008B228B" w:rsidRPr="008B228B" w14:paraId="36B9CA1B"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D6CA92B" w14:textId="68C1C2C8"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1CA27C16" w14:textId="2357EEC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Málaga</w:t>
            </w:r>
          </w:p>
        </w:tc>
        <w:tc>
          <w:tcPr>
            <w:tcW w:w="1846" w:type="dxa"/>
            <w:vAlign w:val="bottom"/>
          </w:tcPr>
          <w:p w14:paraId="207F2AF1" w14:textId="3EDFB26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1,0 %</w:t>
            </w:r>
          </w:p>
        </w:tc>
        <w:tc>
          <w:tcPr>
            <w:tcW w:w="1727" w:type="dxa"/>
            <w:vAlign w:val="bottom"/>
          </w:tcPr>
          <w:p w14:paraId="499F15F3" w14:textId="5C368B15"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5,1 %</w:t>
            </w:r>
          </w:p>
        </w:tc>
        <w:tc>
          <w:tcPr>
            <w:tcW w:w="1485" w:type="dxa"/>
            <w:vAlign w:val="bottom"/>
          </w:tcPr>
          <w:p w14:paraId="7719E02B" w14:textId="753A492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2.206 €</w:t>
            </w:r>
          </w:p>
        </w:tc>
      </w:tr>
      <w:tr w:rsidR="008B228B" w:rsidRPr="008B228B" w14:paraId="1FB9A5F2"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08B4AA6" w14:textId="63CD20EA"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Baleares</w:t>
            </w:r>
          </w:p>
        </w:tc>
        <w:tc>
          <w:tcPr>
            <w:tcW w:w="1982" w:type="dxa"/>
            <w:vAlign w:val="bottom"/>
          </w:tcPr>
          <w:p w14:paraId="4ABB77CE" w14:textId="32216B27"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Illes Balears</w:t>
            </w:r>
          </w:p>
        </w:tc>
        <w:tc>
          <w:tcPr>
            <w:tcW w:w="1846" w:type="dxa"/>
            <w:vAlign w:val="bottom"/>
          </w:tcPr>
          <w:p w14:paraId="14EFE7D7" w14:textId="34B85F8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1,7 %</w:t>
            </w:r>
          </w:p>
        </w:tc>
        <w:tc>
          <w:tcPr>
            <w:tcW w:w="1727" w:type="dxa"/>
            <w:vAlign w:val="bottom"/>
          </w:tcPr>
          <w:p w14:paraId="529DD9F4" w14:textId="4EACC50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5,0 %</w:t>
            </w:r>
          </w:p>
        </w:tc>
        <w:tc>
          <w:tcPr>
            <w:tcW w:w="1485" w:type="dxa"/>
            <w:vAlign w:val="bottom"/>
          </w:tcPr>
          <w:p w14:paraId="0CBF3DFC" w14:textId="47698EB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2.662 €</w:t>
            </w:r>
          </w:p>
        </w:tc>
      </w:tr>
      <w:tr w:rsidR="008B228B" w:rsidRPr="008B228B" w14:paraId="7D7DD508"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01FEDA3" w14:textId="454FF4E2"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Castilla-La Mancha</w:t>
            </w:r>
          </w:p>
        </w:tc>
        <w:tc>
          <w:tcPr>
            <w:tcW w:w="1982" w:type="dxa"/>
            <w:vAlign w:val="bottom"/>
          </w:tcPr>
          <w:p w14:paraId="53EC4CF2" w14:textId="1349595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Toledo</w:t>
            </w:r>
          </w:p>
        </w:tc>
        <w:tc>
          <w:tcPr>
            <w:tcW w:w="1846" w:type="dxa"/>
            <w:vAlign w:val="bottom"/>
          </w:tcPr>
          <w:p w14:paraId="2B50CBBD" w14:textId="6F63B4AC"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2,7 %</w:t>
            </w:r>
          </w:p>
        </w:tc>
        <w:tc>
          <w:tcPr>
            <w:tcW w:w="1727" w:type="dxa"/>
            <w:vAlign w:val="bottom"/>
          </w:tcPr>
          <w:p w14:paraId="55A4D3BF" w14:textId="1529C69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4,7 %</w:t>
            </w:r>
          </w:p>
        </w:tc>
        <w:tc>
          <w:tcPr>
            <w:tcW w:w="1485" w:type="dxa"/>
            <w:vAlign w:val="bottom"/>
          </w:tcPr>
          <w:p w14:paraId="2F5C282B" w14:textId="70CA5DBA"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992 €</w:t>
            </w:r>
          </w:p>
        </w:tc>
      </w:tr>
      <w:tr w:rsidR="008B228B" w:rsidRPr="008B228B" w14:paraId="2C8F2962"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F6284D2" w14:textId="69213F84"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Aragón</w:t>
            </w:r>
          </w:p>
        </w:tc>
        <w:tc>
          <w:tcPr>
            <w:tcW w:w="1982" w:type="dxa"/>
            <w:vAlign w:val="bottom"/>
          </w:tcPr>
          <w:p w14:paraId="618E624D" w14:textId="2365CABE"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Teruel</w:t>
            </w:r>
          </w:p>
        </w:tc>
        <w:tc>
          <w:tcPr>
            <w:tcW w:w="1846" w:type="dxa"/>
            <w:vAlign w:val="bottom"/>
          </w:tcPr>
          <w:p w14:paraId="2E5E0109" w14:textId="46CB3D53"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-1,2 %</w:t>
            </w:r>
          </w:p>
        </w:tc>
        <w:tc>
          <w:tcPr>
            <w:tcW w:w="1727" w:type="dxa"/>
            <w:vAlign w:val="bottom"/>
          </w:tcPr>
          <w:p w14:paraId="675A80AC" w14:textId="591948D7"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3,8 %</w:t>
            </w:r>
          </w:p>
        </w:tc>
        <w:tc>
          <w:tcPr>
            <w:tcW w:w="1485" w:type="dxa"/>
            <w:vAlign w:val="bottom"/>
          </w:tcPr>
          <w:p w14:paraId="16072E7D" w14:textId="6045414C"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1.197 €</w:t>
            </w:r>
          </w:p>
        </w:tc>
      </w:tr>
      <w:tr w:rsidR="008B228B" w:rsidRPr="008B228B" w14:paraId="3A921BD5"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B336261" w14:textId="65E52D47"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4D51EB8B" w14:textId="3FCF71F6"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Sevilla</w:t>
            </w:r>
          </w:p>
        </w:tc>
        <w:tc>
          <w:tcPr>
            <w:tcW w:w="1846" w:type="dxa"/>
            <w:vAlign w:val="bottom"/>
          </w:tcPr>
          <w:p w14:paraId="5AC61833" w14:textId="04792F2C"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1,3 %</w:t>
            </w:r>
          </w:p>
        </w:tc>
        <w:tc>
          <w:tcPr>
            <w:tcW w:w="1727" w:type="dxa"/>
            <w:vAlign w:val="bottom"/>
          </w:tcPr>
          <w:p w14:paraId="7C9B3B29" w14:textId="5B57D85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3,7 %</w:t>
            </w:r>
          </w:p>
        </w:tc>
        <w:tc>
          <w:tcPr>
            <w:tcW w:w="1485" w:type="dxa"/>
            <w:vAlign w:val="bottom"/>
          </w:tcPr>
          <w:p w14:paraId="6A397D8B" w14:textId="43AD500F"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1.639 €</w:t>
            </w:r>
          </w:p>
        </w:tc>
      </w:tr>
      <w:tr w:rsidR="008B228B" w:rsidRPr="008B228B" w14:paraId="17983910"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2428828" w14:textId="388F720E"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Navarra</w:t>
            </w:r>
          </w:p>
        </w:tc>
        <w:tc>
          <w:tcPr>
            <w:tcW w:w="1982" w:type="dxa"/>
            <w:vAlign w:val="bottom"/>
          </w:tcPr>
          <w:p w14:paraId="1D6E2ED7" w14:textId="6C16BCDF"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Navarra</w:t>
            </w:r>
          </w:p>
        </w:tc>
        <w:tc>
          <w:tcPr>
            <w:tcW w:w="1846" w:type="dxa"/>
            <w:vAlign w:val="bottom"/>
          </w:tcPr>
          <w:p w14:paraId="2707AC73" w14:textId="5E66BA3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-1,8 %</w:t>
            </w:r>
          </w:p>
        </w:tc>
        <w:tc>
          <w:tcPr>
            <w:tcW w:w="1727" w:type="dxa"/>
            <w:vAlign w:val="bottom"/>
          </w:tcPr>
          <w:p w14:paraId="6C6F700C" w14:textId="46CDCFF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3,5 %</w:t>
            </w:r>
          </w:p>
        </w:tc>
        <w:tc>
          <w:tcPr>
            <w:tcW w:w="1485" w:type="dxa"/>
            <w:vAlign w:val="bottom"/>
          </w:tcPr>
          <w:p w14:paraId="0A2A6603" w14:textId="759B9FF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1.642 €</w:t>
            </w:r>
          </w:p>
        </w:tc>
      </w:tr>
      <w:tr w:rsidR="008B228B" w:rsidRPr="008B228B" w14:paraId="589803AC"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5D1E897" w14:textId="039455F3"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Aragón</w:t>
            </w:r>
          </w:p>
        </w:tc>
        <w:tc>
          <w:tcPr>
            <w:tcW w:w="1982" w:type="dxa"/>
            <w:vAlign w:val="bottom"/>
          </w:tcPr>
          <w:p w14:paraId="20D4B12A" w14:textId="49120F62"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Zaragoza</w:t>
            </w:r>
          </w:p>
        </w:tc>
        <w:tc>
          <w:tcPr>
            <w:tcW w:w="1846" w:type="dxa"/>
            <w:vAlign w:val="bottom"/>
          </w:tcPr>
          <w:p w14:paraId="1A9D569A" w14:textId="4F69A4A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1,2 %</w:t>
            </w:r>
          </w:p>
        </w:tc>
        <w:tc>
          <w:tcPr>
            <w:tcW w:w="1727" w:type="dxa"/>
            <w:vAlign w:val="bottom"/>
          </w:tcPr>
          <w:p w14:paraId="21100A38" w14:textId="25AD609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3,4 %</w:t>
            </w:r>
          </w:p>
        </w:tc>
        <w:tc>
          <w:tcPr>
            <w:tcW w:w="1485" w:type="dxa"/>
            <w:vAlign w:val="bottom"/>
          </w:tcPr>
          <w:p w14:paraId="7F64C9A0" w14:textId="4F369F4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1.673 €</w:t>
            </w:r>
          </w:p>
        </w:tc>
      </w:tr>
      <w:tr w:rsidR="008B228B" w:rsidRPr="008B228B" w14:paraId="13DD035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AD1C3C3" w14:textId="02171458"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Castilla-La Mancha</w:t>
            </w:r>
          </w:p>
        </w:tc>
        <w:tc>
          <w:tcPr>
            <w:tcW w:w="1982" w:type="dxa"/>
            <w:vAlign w:val="bottom"/>
          </w:tcPr>
          <w:p w14:paraId="3C4FE75B" w14:textId="6FEBEA43"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Guadalajara</w:t>
            </w:r>
          </w:p>
        </w:tc>
        <w:tc>
          <w:tcPr>
            <w:tcW w:w="1846" w:type="dxa"/>
            <w:vAlign w:val="bottom"/>
          </w:tcPr>
          <w:p w14:paraId="606B6DE4" w14:textId="6DA34D4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-1,2 %</w:t>
            </w:r>
          </w:p>
        </w:tc>
        <w:tc>
          <w:tcPr>
            <w:tcW w:w="1727" w:type="dxa"/>
            <w:vAlign w:val="bottom"/>
          </w:tcPr>
          <w:p w14:paraId="1463A9E2" w14:textId="2FD4E3BC"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2,5 %</w:t>
            </w:r>
          </w:p>
        </w:tc>
        <w:tc>
          <w:tcPr>
            <w:tcW w:w="1485" w:type="dxa"/>
            <w:vAlign w:val="bottom"/>
          </w:tcPr>
          <w:p w14:paraId="4E7905B6" w14:textId="1BA891A8"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1.316 €</w:t>
            </w:r>
          </w:p>
        </w:tc>
      </w:tr>
      <w:tr w:rsidR="008B228B" w:rsidRPr="008B228B" w14:paraId="7268DADA"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27BCB82" w14:textId="639EA328"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lastRenderedPageBreak/>
              <w:t>Cantabria</w:t>
            </w:r>
          </w:p>
        </w:tc>
        <w:tc>
          <w:tcPr>
            <w:tcW w:w="1982" w:type="dxa"/>
            <w:vAlign w:val="bottom"/>
          </w:tcPr>
          <w:p w14:paraId="323AECBB" w14:textId="7FAB65A8"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Cantabria</w:t>
            </w:r>
          </w:p>
        </w:tc>
        <w:tc>
          <w:tcPr>
            <w:tcW w:w="1846" w:type="dxa"/>
            <w:vAlign w:val="bottom"/>
          </w:tcPr>
          <w:p w14:paraId="199885BF" w14:textId="230582A5"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1,7 %</w:t>
            </w:r>
          </w:p>
        </w:tc>
        <w:tc>
          <w:tcPr>
            <w:tcW w:w="1727" w:type="dxa"/>
            <w:vAlign w:val="bottom"/>
          </w:tcPr>
          <w:p w14:paraId="0B4FB2A0" w14:textId="15A9149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2,5 %</w:t>
            </w:r>
          </w:p>
        </w:tc>
        <w:tc>
          <w:tcPr>
            <w:tcW w:w="1485" w:type="dxa"/>
            <w:vAlign w:val="bottom"/>
          </w:tcPr>
          <w:p w14:paraId="0B846D7C" w14:textId="71417D9E"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1.749 €</w:t>
            </w:r>
          </w:p>
        </w:tc>
      </w:tr>
      <w:tr w:rsidR="008B228B" w:rsidRPr="008B228B" w14:paraId="3E55F7F4"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BA0CEDD" w14:textId="34522E5C"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Comunitat Valenciana</w:t>
            </w:r>
          </w:p>
        </w:tc>
        <w:tc>
          <w:tcPr>
            <w:tcW w:w="1982" w:type="dxa"/>
            <w:vAlign w:val="bottom"/>
          </w:tcPr>
          <w:p w14:paraId="232CBCE5" w14:textId="44219CFD"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Alicante</w:t>
            </w:r>
          </w:p>
        </w:tc>
        <w:tc>
          <w:tcPr>
            <w:tcW w:w="1846" w:type="dxa"/>
            <w:vAlign w:val="bottom"/>
          </w:tcPr>
          <w:p w14:paraId="0657510C" w14:textId="0D6F234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1,5 %</w:t>
            </w:r>
          </w:p>
        </w:tc>
        <w:tc>
          <w:tcPr>
            <w:tcW w:w="1727" w:type="dxa"/>
            <w:vAlign w:val="bottom"/>
          </w:tcPr>
          <w:p w14:paraId="5ECCE125" w14:textId="0094C3D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2,5 %</w:t>
            </w:r>
          </w:p>
        </w:tc>
        <w:tc>
          <w:tcPr>
            <w:tcW w:w="1485" w:type="dxa"/>
            <w:vAlign w:val="bottom"/>
          </w:tcPr>
          <w:p w14:paraId="74E63396" w14:textId="727F9C3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1.495 €</w:t>
            </w:r>
          </w:p>
        </w:tc>
      </w:tr>
      <w:tr w:rsidR="008B228B" w:rsidRPr="008B228B" w14:paraId="55979CB3"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3162C3A" w14:textId="7921E024"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Canarias</w:t>
            </w:r>
          </w:p>
        </w:tc>
        <w:tc>
          <w:tcPr>
            <w:tcW w:w="1982" w:type="dxa"/>
            <w:vAlign w:val="bottom"/>
          </w:tcPr>
          <w:p w14:paraId="04AB65B8" w14:textId="3AD94AD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Las Palmas</w:t>
            </w:r>
          </w:p>
        </w:tc>
        <w:tc>
          <w:tcPr>
            <w:tcW w:w="1846" w:type="dxa"/>
            <w:vAlign w:val="bottom"/>
          </w:tcPr>
          <w:p w14:paraId="3E6A039C" w14:textId="40754AF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0,4 %</w:t>
            </w:r>
          </w:p>
        </w:tc>
        <w:tc>
          <w:tcPr>
            <w:tcW w:w="1727" w:type="dxa"/>
            <w:vAlign w:val="bottom"/>
          </w:tcPr>
          <w:p w14:paraId="04195840" w14:textId="655B5A9D"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2,0 %</w:t>
            </w:r>
          </w:p>
        </w:tc>
        <w:tc>
          <w:tcPr>
            <w:tcW w:w="1485" w:type="dxa"/>
            <w:vAlign w:val="bottom"/>
          </w:tcPr>
          <w:p w14:paraId="5B5B389C" w14:textId="70C87234"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1.738 €</w:t>
            </w:r>
          </w:p>
        </w:tc>
      </w:tr>
      <w:tr w:rsidR="008B228B" w:rsidRPr="008B228B" w14:paraId="13BFDC0C"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4636BAD" w14:textId="6730AA2F"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País Vasco</w:t>
            </w:r>
          </w:p>
        </w:tc>
        <w:tc>
          <w:tcPr>
            <w:tcW w:w="1982" w:type="dxa"/>
            <w:vAlign w:val="bottom"/>
          </w:tcPr>
          <w:p w14:paraId="65268DDC" w14:textId="2849DBD4"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Araba - Álava</w:t>
            </w:r>
          </w:p>
        </w:tc>
        <w:tc>
          <w:tcPr>
            <w:tcW w:w="1846" w:type="dxa"/>
            <w:vAlign w:val="bottom"/>
          </w:tcPr>
          <w:p w14:paraId="131D0BBD" w14:textId="0EAAB52E"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1,3 %</w:t>
            </w:r>
          </w:p>
        </w:tc>
        <w:tc>
          <w:tcPr>
            <w:tcW w:w="1727" w:type="dxa"/>
            <w:vAlign w:val="bottom"/>
          </w:tcPr>
          <w:p w14:paraId="5C580AD4" w14:textId="73C9B14F"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1,8 %</w:t>
            </w:r>
          </w:p>
        </w:tc>
        <w:tc>
          <w:tcPr>
            <w:tcW w:w="1485" w:type="dxa"/>
            <w:vAlign w:val="bottom"/>
          </w:tcPr>
          <w:p w14:paraId="38A4578F" w14:textId="1BCDB39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2.269 €</w:t>
            </w:r>
          </w:p>
        </w:tc>
      </w:tr>
      <w:tr w:rsidR="008B228B" w:rsidRPr="008B228B" w14:paraId="077AC013"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2697CB2" w14:textId="301E37FB"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Galicia</w:t>
            </w:r>
          </w:p>
        </w:tc>
        <w:tc>
          <w:tcPr>
            <w:tcW w:w="1982" w:type="dxa"/>
            <w:vAlign w:val="bottom"/>
          </w:tcPr>
          <w:p w14:paraId="63E18550" w14:textId="231C2EE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Pontevedra</w:t>
            </w:r>
          </w:p>
        </w:tc>
        <w:tc>
          <w:tcPr>
            <w:tcW w:w="1846" w:type="dxa"/>
            <w:vAlign w:val="bottom"/>
          </w:tcPr>
          <w:p w14:paraId="5DC4474C" w14:textId="01A3767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0,2 %</w:t>
            </w:r>
          </w:p>
        </w:tc>
        <w:tc>
          <w:tcPr>
            <w:tcW w:w="1727" w:type="dxa"/>
            <w:vAlign w:val="bottom"/>
          </w:tcPr>
          <w:p w14:paraId="4DF00467" w14:textId="63BB9844"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1,7 %</w:t>
            </w:r>
          </w:p>
        </w:tc>
        <w:tc>
          <w:tcPr>
            <w:tcW w:w="1485" w:type="dxa"/>
            <w:vAlign w:val="bottom"/>
          </w:tcPr>
          <w:p w14:paraId="0BE5BC70" w14:textId="18D59603"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1.728 €</w:t>
            </w:r>
          </w:p>
        </w:tc>
      </w:tr>
      <w:tr w:rsidR="008B228B" w:rsidRPr="008B228B" w14:paraId="3286838A"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B2752E7" w14:textId="165624E7"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7EA40BA8" w14:textId="5B366964"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León</w:t>
            </w:r>
          </w:p>
        </w:tc>
        <w:tc>
          <w:tcPr>
            <w:tcW w:w="1846" w:type="dxa"/>
            <w:vAlign w:val="bottom"/>
          </w:tcPr>
          <w:p w14:paraId="76601E85" w14:textId="1453569A"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0,7 %</w:t>
            </w:r>
          </w:p>
        </w:tc>
        <w:tc>
          <w:tcPr>
            <w:tcW w:w="1727" w:type="dxa"/>
            <w:vAlign w:val="bottom"/>
          </w:tcPr>
          <w:p w14:paraId="607FC322" w14:textId="6CCC4F5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1,6 %</w:t>
            </w:r>
          </w:p>
        </w:tc>
        <w:tc>
          <w:tcPr>
            <w:tcW w:w="1485" w:type="dxa"/>
            <w:vAlign w:val="bottom"/>
          </w:tcPr>
          <w:p w14:paraId="206DE212" w14:textId="7D09745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1.251 €</w:t>
            </w:r>
          </w:p>
        </w:tc>
      </w:tr>
      <w:tr w:rsidR="008B228B" w:rsidRPr="008B228B" w14:paraId="2DDC0FE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D71050B" w14:textId="001B3EC6"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23DB74E1" w14:textId="39BDC96D"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Cádiz</w:t>
            </w:r>
          </w:p>
        </w:tc>
        <w:tc>
          <w:tcPr>
            <w:tcW w:w="1846" w:type="dxa"/>
            <w:vAlign w:val="bottom"/>
          </w:tcPr>
          <w:p w14:paraId="351F9536" w14:textId="6149FAD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1,2 %</w:t>
            </w:r>
          </w:p>
        </w:tc>
        <w:tc>
          <w:tcPr>
            <w:tcW w:w="1727" w:type="dxa"/>
            <w:vAlign w:val="bottom"/>
          </w:tcPr>
          <w:p w14:paraId="17ABF84F" w14:textId="31A0CDE1"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1,5 %</w:t>
            </w:r>
          </w:p>
        </w:tc>
        <w:tc>
          <w:tcPr>
            <w:tcW w:w="1485" w:type="dxa"/>
            <w:vAlign w:val="bottom"/>
          </w:tcPr>
          <w:p w14:paraId="3B61B150" w14:textId="6185DD7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1.467 €</w:t>
            </w:r>
          </w:p>
        </w:tc>
      </w:tr>
      <w:tr w:rsidR="008B228B" w:rsidRPr="008B228B" w14:paraId="667570F8"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E5AA91E" w14:textId="34F32FEA"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2716D771" w14:textId="3458BB84"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Huelva</w:t>
            </w:r>
          </w:p>
        </w:tc>
        <w:tc>
          <w:tcPr>
            <w:tcW w:w="1846" w:type="dxa"/>
            <w:vAlign w:val="bottom"/>
          </w:tcPr>
          <w:p w14:paraId="3253C120" w14:textId="06899D4E"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0,2 %</w:t>
            </w:r>
          </w:p>
        </w:tc>
        <w:tc>
          <w:tcPr>
            <w:tcW w:w="1727" w:type="dxa"/>
            <w:vAlign w:val="bottom"/>
          </w:tcPr>
          <w:p w14:paraId="5224AF82" w14:textId="6D1A227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1,5 %</w:t>
            </w:r>
          </w:p>
        </w:tc>
        <w:tc>
          <w:tcPr>
            <w:tcW w:w="1485" w:type="dxa"/>
            <w:vAlign w:val="bottom"/>
          </w:tcPr>
          <w:p w14:paraId="646DE19F" w14:textId="26DACD3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1.265 €</w:t>
            </w:r>
          </w:p>
        </w:tc>
      </w:tr>
      <w:tr w:rsidR="008B228B" w:rsidRPr="008B228B" w14:paraId="0BCD5E6B"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27BBCA0" w14:textId="41E0CE73"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Comunitat Valenciana</w:t>
            </w:r>
          </w:p>
        </w:tc>
        <w:tc>
          <w:tcPr>
            <w:tcW w:w="1982" w:type="dxa"/>
            <w:vAlign w:val="bottom"/>
          </w:tcPr>
          <w:p w14:paraId="20001A7F" w14:textId="6C7DA63F"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Valencia</w:t>
            </w:r>
          </w:p>
        </w:tc>
        <w:tc>
          <w:tcPr>
            <w:tcW w:w="1846" w:type="dxa"/>
            <w:vAlign w:val="bottom"/>
          </w:tcPr>
          <w:p w14:paraId="3F0541D8" w14:textId="665ACAA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0,6 %</w:t>
            </w:r>
          </w:p>
        </w:tc>
        <w:tc>
          <w:tcPr>
            <w:tcW w:w="1727" w:type="dxa"/>
            <w:vAlign w:val="bottom"/>
          </w:tcPr>
          <w:p w14:paraId="47BBCECA" w14:textId="3C12ADB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1,4 %</w:t>
            </w:r>
          </w:p>
        </w:tc>
        <w:tc>
          <w:tcPr>
            <w:tcW w:w="1485" w:type="dxa"/>
            <w:vAlign w:val="bottom"/>
          </w:tcPr>
          <w:p w14:paraId="0AF8F4A0" w14:textId="728E3D16"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1.441 €</w:t>
            </w:r>
          </w:p>
        </w:tc>
      </w:tr>
      <w:tr w:rsidR="008B228B" w:rsidRPr="008B228B" w14:paraId="790B7AB2"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0ABDC80" w14:textId="4FB0DF1B"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Galicia</w:t>
            </w:r>
          </w:p>
        </w:tc>
        <w:tc>
          <w:tcPr>
            <w:tcW w:w="1982" w:type="dxa"/>
            <w:vAlign w:val="bottom"/>
          </w:tcPr>
          <w:p w14:paraId="3C370C18" w14:textId="10F980B6"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Lugo</w:t>
            </w:r>
          </w:p>
        </w:tc>
        <w:tc>
          <w:tcPr>
            <w:tcW w:w="1846" w:type="dxa"/>
            <w:vAlign w:val="bottom"/>
          </w:tcPr>
          <w:p w14:paraId="26D7B648" w14:textId="022CA623"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-0,5 %</w:t>
            </w:r>
          </w:p>
        </w:tc>
        <w:tc>
          <w:tcPr>
            <w:tcW w:w="1727" w:type="dxa"/>
            <w:vAlign w:val="bottom"/>
          </w:tcPr>
          <w:p w14:paraId="3C78BF86" w14:textId="1DF0E2B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1,4 %</w:t>
            </w:r>
          </w:p>
        </w:tc>
        <w:tc>
          <w:tcPr>
            <w:tcW w:w="1485" w:type="dxa"/>
            <w:vAlign w:val="bottom"/>
          </w:tcPr>
          <w:p w14:paraId="7F584993" w14:textId="52D0D2FB"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1.120 €</w:t>
            </w:r>
          </w:p>
        </w:tc>
      </w:tr>
      <w:tr w:rsidR="008B228B" w:rsidRPr="008B228B" w14:paraId="0EFA25D7"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86EE6E4" w14:textId="78E8C410"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Castilla-La Mancha</w:t>
            </w:r>
          </w:p>
        </w:tc>
        <w:tc>
          <w:tcPr>
            <w:tcW w:w="1982" w:type="dxa"/>
            <w:vAlign w:val="bottom"/>
          </w:tcPr>
          <w:p w14:paraId="619C85C7" w14:textId="718B50CA"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Albacete</w:t>
            </w:r>
          </w:p>
        </w:tc>
        <w:tc>
          <w:tcPr>
            <w:tcW w:w="1846" w:type="dxa"/>
            <w:vAlign w:val="bottom"/>
          </w:tcPr>
          <w:p w14:paraId="4CC51209" w14:textId="4AAEC95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0,2 %</w:t>
            </w:r>
          </w:p>
        </w:tc>
        <w:tc>
          <w:tcPr>
            <w:tcW w:w="1727" w:type="dxa"/>
            <w:vAlign w:val="bottom"/>
          </w:tcPr>
          <w:p w14:paraId="3F51CEF1" w14:textId="705F4901"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1,1 %</w:t>
            </w:r>
          </w:p>
        </w:tc>
        <w:tc>
          <w:tcPr>
            <w:tcW w:w="1485" w:type="dxa"/>
            <w:vAlign w:val="bottom"/>
          </w:tcPr>
          <w:p w14:paraId="407CCE11" w14:textId="5867FC3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1.325 €</w:t>
            </w:r>
          </w:p>
        </w:tc>
      </w:tr>
      <w:tr w:rsidR="008B228B" w:rsidRPr="008B228B" w14:paraId="011ED6CB"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D8A5D68" w14:textId="389C071A"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Cataluña</w:t>
            </w:r>
          </w:p>
        </w:tc>
        <w:tc>
          <w:tcPr>
            <w:tcW w:w="1982" w:type="dxa"/>
            <w:vAlign w:val="bottom"/>
          </w:tcPr>
          <w:p w14:paraId="302E3061" w14:textId="157FD958"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Barcelona</w:t>
            </w:r>
          </w:p>
        </w:tc>
        <w:tc>
          <w:tcPr>
            <w:tcW w:w="1846" w:type="dxa"/>
            <w:vAlign w:val="bottom"/>
          </w:tcPr>
          <w:p w14:paraId="7702CBA8" w14:textId="6CE98F5B"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0,2 %</w:t>
            </w:r>
          </w:p>
        </w:tc>
        <w:tc>
          <w:tcPr>
            <w:tcW w:w="1727" w:type="dxa"/>
            <w:vAlign w:val="bottom"/>
          </w:tcPr>
          <w:p w14:paraId="414BE4BE" w14:textId="06FF274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1,0 %</w:t>
            </w:r>
          </w:p>
        </w:tc>
        <w:tc>
          <w:tcPr>
            <w:tcW w:w="1485" w:type="dxa"/>
            <w:vAlign w:val="bottom"/>
          </w:tcPr>
          <w:p w14:paraId="1793187B" w14:textId="5213D52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3.024 €</w:t>
            </w:r>
          </w:p>
        </w:tc>
      </w:tr>
      <w:tr w:rsidR="008B228B" w:rsidRPr="008B228B" w14:paraId="7400F688"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722CE64" w14:textId="490E45DF"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2D547EFD" w14:textId="78C4C873"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Valladolid</w:t>
            </w:r>
          </w:p>
        </w:tc>
        <w:tc>
          <w:tcPr>
            <w:tcW w:w="1846" w:type="dxa"/>
            <w:vAlign w:val="bottom"/>
          </w:tcPr>
          <w:p w14:paraId="1D9878C8" w14:textId="0231FFEE"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-1,8 %</w:t>
            </w:r>
          </w:p>
        </w:tc>
        <w:tc>
          <w:tcPr>
            <w:tcW w:w="1727" w:type="dxa"/>
            <w:vAlign w:val="bottom"/>
          </w:tcPr>
          <w:p w14:paraId="7D5E49B6" w14:textId="0B4BBD6E"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1,0 %</w:t>
            </w:r>
          </w:p>
        </w:tc>
        <w:tc>
          <w:tcPr>
            <w:tcW w:w="1485" w:type="dxa"/>
            <w:vAlign w:val="bottom"/>
          </w:tcPr>
          <w:p w14:paraId="253EC464" w14:textId="42D029E4"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1.507 €</w:t>
            </w:r>
          </w:p>
        </w:tc>
      </w:tr>
      <w:tr w:rsidR="008B228B" w:rsidRPr="008B228B" w14:paraId="6D4D2DD8"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3FEC72D" w14:textId="3B6FA464"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Asturias</w:t>
            </w:r>
          </w:p>
        </w:tc>
        <w:tc>
          <w:tcPr>
            <w:tcW w:w="1982" w:type="dxa"/>
            <w:vAlign w:val="bottom"/>
          </w:tcPr>
          <w:p w14:paraId="402BE848" w14:textId="452FB950"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Asturias</w:t>
            </w:r>
          </w:p>
        </w:tc>
        <w:tc>
          <w:tcPr>
            <w:tcW w:w="1846" w:type="dxa"/>
            <w:vAlign w:val="bottom"/>
          </w:tcPr>
          <w:p w14:paraId="6F7AF150" w14:textId="13C9685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0,3 %</w:t>
            </w:r>
          </w:p>
        </w:tc>
        <w:tc>
          <w:tcPr>
            <w:tcW w:w="1727" w:type="dxa"/>
            <w:vAlign w:val="bottom"/>
          </w:tcPr>
          <w:p w14:paraId="5A887E20" w14:textId="2551B35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0,9 %</w:t>
            </w:r>
          </w:p>
        </w:tc>
        <w:tc>
          <w:tcPr>
            <w:tcW w:w="1485" w:type="dxa"/>
            <w:vAlign w:val="bottom"/>
          </w:tcPr>
          <w:p w14:paraId="415B7967" w14:textId="32D55C48"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1.555 €</w:t>
            </w:r>
          </w:p>
        </w:tc>
      </w:tr>
      <w:tr w:rsidR="008B228B" w:rsidRPr="008B228B" w14:paraId="471E323C"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4E4B7F9" w14:textId="07AFF0CF"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Región de Murcia</w:t>
            </w:r>
          </w:p>
        </w:tc>
        <w:tc>
          <w:tcPr>
            <w:tcW w:w="1982" w:type="dxa"/>
            <w:vAlign w:val="bottom"/>
          </w:tcPr>
          <w:p w14:paraId="157292B7" w14:textId="358B2B2C"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Murcia</w:t>
            </w:r>
          </w:p>
        </w:tc>
        <w:tc>
          <w:tcPr>
            <w:tcW w:w="1846" w:type="dxa"/>
            <w:vAlign w:val="bottom"/>
          </w:tcPr>
          <w:p w14:paraId="6773465A" w14:textId="5564269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-1,6 %</w:t>
            </w:r>
          </w:p>
        </w:tc>
        <w:tc>
          <w:tcPr>
            <w:tcW w:w="1727" w:type="dxa"/>
            <w:vAlign w:val="bottom"/>
          </w:tcPr>
          <w:p w14:paraId="4C5EDCA9" w14:textId="1BA9A9A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0,8 %</w:t>
            </w:r>
          </w:p>
        </w:tc>
        <w:tc>
          <w:tcPr>
            <w:tcW w:w="1485" w:type="dxa"/>
            <w:vAlign w:val="bottom"/>
          </w:tcPr>
          <w:p w14:paraId="6E4423CC" w14:textId="073B9D83"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1.145 €</w:t>
            </w:r>
          </w:p>
        </w:tc>
      </w:tr>
      <w:tr w:rsidR="008B228B" w:rsidRPr="008B228B" w14:paraId="49F0E4CC"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C79FBA4" w14:textId="72140464"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La Rioja</w:t>
            </w:r>
          </w:p>
        </w:tc>
        <w:tc>
          <w:tcPr>
            <w:tcW w:w="1982" w:type="dxa"/>
            <w:vAlign w:val="bottom"/>
          </w:tcPr>
          <w:p w14:paraId="1EB7A63C" w14:textId="3076B24D"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La Rioja</w:t>
            </w:r>
          </w:p>
        </w:tc>
        <w:tc>
          <w:tcPr>
            <w:tcW w:w="1846" w:type="dxa"/>
            <w:vAlign w:val="bottom"/>
          </w:tcPr>
          <w:p w14:paraId="067115C1" w14:textId="3BE07A4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-0,1 %</w:t>
            </w:r>
          </w:p>
        </w:tc>
        <w:tc>
          <w:tcPr>
            <w:tcW w:w="1727" w:type="dxa"/>
            <w:vAlign w:val="bottom"/>
          </w:tcPr>
          <w:p w14:paraId="3B5C4B4E" w14:textId="3D9F8C0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0,7 %</w:t>
            </w:r>
          </w:p>
        </w:tc>
        <w:tc>
          <w:tcPr>
            <w:tcW w:w="1485" w:type="dxa"/>
            <w:vAlign w:val="bottom"/>
          </w:tcPr>
          <w:p w14:paraId="5EC1C008" w14:textId="15127023"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1.401 €</w:t>
            </w:r>
          </w:p>
        </w:tc>
      </w:tr>
      <w:tr w:rsidR="008B228B" w:rsidRPr="008B228B" w14:paraId="6138925E"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986438C" w14:textId="6F3C904A"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Galicia</w:t>
            </w:r>
          </w:p>
        </w:tc>
        <w:tc>
          <w:tcPr>
            <w:tcW w:w="1982" w:type="dxa"/>
            <w:vAlign w:val="bottom"/>
          </w:tcPr>
          <w:p w14:paraId="6EDA18BD" w14:textId="0DDFDB8A"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Ourense</w:t>
            </w:r>
          </w:p>
        </w:tc>
        <w:tc>
          <w:tcPr>
            <w:tcW w:w="1846" w:type="dxa"/>
            <w:vAlign w:val="bottom"/>
          </w:tcPr>
          <w:p w14:paraId="3FF4046B" w14:textId="0395C1B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-1,2 %</w:t>
            </w:r>
          </w:p>
        </w:tc>
        <w:tc>
          <w:tcPr>
            <w:tcW w:w="1727" w:type="dxa"/>
            <w:vAlign w:val="bottom"/>
          </w:tcPr>
          <w:p w14:paraId="0F5A5D28" w14:textId="3063D7BC"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0,4 %</w:t>
            </w:r>
          </w:p>
        </w:tc>
        <w:tc>
          <w:tcPr>
            <w:tcW w:w="1485" w:type="dxa"/>
            <w:vAlign w:val="bottom"/>
          </w:tcPr>
          <w:p w14:paraId="18B48AAB" w14:textId="53CB96A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1.448 €</w:t>
            </w:r>
          </w:p>
        </w:tc>
      </w:tr>
      <w:tr w:rsidR="008B228B" w:rsidRPr="008B228B" w14:paraId="2D800FA6"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2540E98" w14:textId="7E7FDDB4"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País Vasco</w:t>
            </w:r>
          </w:p>
        </w:tc>
        <w:tc>
          <w:tcPr>
            <w:tcW w:w="1982" w:type="dxa"/>
            <w:vAlign w:val="bottom"/>
          </w:tcPr>
          <w:p w14:paraId="7DC0AD04" w14:textId="7B5E2859"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Bizkaia</w:t>
            </w:r>
          </w:p>
        </w:tc>
        <w:tc>
          <w:tcPr>
            <w:tcW w:w="1846" w:type="dxa"/>
            <w:vAlign w:val="bottom"/>
          </w:tcPr>
          <w:p w14:paraId="63BA5D73" w14:textId="291F39E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-0,1 %</w:t>
            </w:r>
          </w:p>
        </w:tc>
        <w:tc>
          <w:tcPr>
            <w:tcW w:w="1727" w:type="dxa"/>
            <w:vAlign w:val="bottom"/>
          </w:tcPr>
          <w:p w14:paraId="7F9FED4C" w14:textId="3C167F0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0,3 %</w:t>
            </w:r>
          </w:p>
        </w:tc>
        <w:tc>
          <w:tcPr>
            <w:tcW w:w="1485" w:type="dxa"/>
            <w:vAlign w:val="bottom"/>
          </w:tcPr>
          <w:p w14:paraId="355F8BB9" w14:textId="32C3928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2.800 €</w:t>
            </w:r>
          </w:p>
        </w:tc>
      </w:tr>
      <w:tr w:rsidR="008B228B" w:rsidRPr="008B228B" w14:paraId="39A2867A"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4E52C2C" w14:textId="04D32B6C"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País Vasco</w:t>
            </w:r>
          </w:p>
        </w:tc>
        <w:tc>
          <w:tcPr>
            <w:tcW w:w="1982" w:type="dxa"/>
            <w:vAlign w:val="bottom"/>
          </w:tcPr>
          <w:p w14:paraId="06DC57CC" w14:textId="1173C78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Gipuzkoa</w:t>
            </w:r>
          </w:p>
        </w:tc>
        <w:tc>
          <w:tcPr>
            <w:tcW w:w="1846" w:type="dxa"/>
            <w:vAlign w:val="bottom"/>
          </w:tcPr>
          <w:p w14:paraId="4E20EF58" w14:textId="12E0ECD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-0,3 %</w:t>
            </w:r>
          </w:p>
        </w:tc>
        <w:tc>
          <w:tcPr>
            <w:tcW w:w="1727" w:type="dxa"/>
            <w:vAlign w:val="bottom"/>
          </w:tcPr>
          <w:p w14:paraId="608AF2AF" w14:textId="2868ACD1"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0,3 %</w:t>
            </w:r>
          </w:p>
        </w:tc>
        <w:tc>
          <w:tcPr>
            <w:tcW w:w="1485" w:type="dxa"/>
            <w:vAlign w:val="bottom"/>
          </w:tcPr>
          <w:p w14:paraId="4D8D1D1B" w14:textId="65C8484E"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3.089 €</w:t>
            </w:r>
          </w:p>
        </w:tc>
      </w:tr>
      <w:tr w:rsidR="008B228B" w:rsidRPr="008B228B" w14:paraId="6E9E4784"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B0DBEDA" w14:textId="04B8098B"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Extremadura</w:t>
            </w:r>
          </w:p>
        </w:tc>
        <w:tc>
          <w:tcPr>
            <w:tcW w:w="1982" w:type="dxa"/>
            <w:vAlign w:val="bottom"/>
          </w:tcPr>
          <w:p w14:paraId="495F8471" w14:textId="2B9DA167"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Badajoz</w:t>
            </w:r>
          </w:p>
        </w:tc>
        <w:tc>
          <w:tcPr>
            <w:tcW w:w="1846" w:type="dxa"/>
            <w:vAlign w:val="bottom"/>
          </w:tcPr>
          <w:p w14:paraId="7068B552" w14:textId="5C7B2A9E"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0,0 %</w:t>
            </w:r>
          </w:p>
        </w:tc>
        <w:tc>
          <w:tcPr>
            <w:tcW w:w="1727" w:type="dxa"/>
            <w:vAlign w:val="bottom"/>
          </w:tcPr>
          <w:p w14:paraId="7C00F58F" w14:textId="4573EB5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000000"/>
                <w:sz w:val="22"/>
                <w:szCs w:val="22"/>
              </w:rPr>
              <w:t>0,2 %</w:t>
            </w:r>
          </w:p>
        </w:tc>
        <w:tc>
          <w:tcPr>
            <w:tcW w:w="1485" w:type="dxa"/>
            <w:vAlign w:val="bottom"/>
          </w:tcPr>
          <w:p w14:paraId="4BD96902" w14:textId="1C34BCB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1.095 €</w:t>
            </w:r>
          </w:p>
        </w:tc>
      </w:tr>
      <w:tr w:rsidR="008B228B" w:rsidRPr="008B228B" w14:paraId="705BED3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92A9255" w14:textId="388035CC"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013C98A1" w14:textId="64ED827C"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Córdoba</w:t>
            </w:r>
          </w:p>
        </w:tc>
        <w:tc>
          <w:tcPr>
            <w:tcW w:w="1846" w:type="dxa"/>
            <w:vAlign w:val="bottom"/>
          </w:tcPr>
          <w:p w14:paraId="0CB8127C" w14:textId="151129DE"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-0,1 %</w:t>
            </w:r>
          </w:p>
        </w:tc>
        <w:tc>
          <w:tcPr>
            <w:tcW w:w="1727" w:type="dxa"/>
            <w:vAlign w:val="bottom"/>
          </w:tcPr>
          <w:p w14:paraId="0CA9E928" w14:textId="1CA30BA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-0,1 %</w:t>
            </w:r>
          </w:p>
        </w:tc>
        <w:tc>
          <w:tcPr>
            <w:tcW w:w="1485" w:type="dxa"/>
            <w:vAlign w:val="bottom"/>
          </w:tcPr>
          <w:p w14:paraId="6D6254CB" w14:textId="51795E9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1.440 €</w:t>
            </w:r>
          </w:p>
        </w:tc>
      </w:tr>
      <w:tr w:rsidR="008B228B" w:rsidRPr="008B228B" w14:paraId="0BC99CF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1A823C9" w14:textId="789B6F5B"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Cataluña</w:t>
            </w:r>
          </w:p>
        </w:tc>
        <w:tc>
          <w:tcPr>
            <w:tcW w:w="1982" w:type="dxa"/>
            <w:vAlign w:val="bottom"/>
          </w:tcPr>
          <w:p w14:paraId="7A719089" w14:textId="35827CB7"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Tarragona</w:t>
            </w:r>
          </w:p>
        </w:tc>
        <w:tc>
          <w:tcPr>
            <w:tcW w:w="1846" w:type="dxa"/>
            <w:vAlign w:val="bottom"/>
          </w:tcPr>
          <w:p w14:paraId="71C2D2A6" w14:textId="2C3616FF"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000000"/>
                <w:sz w:val="22"/>
                <w:szCs w:val="22"/>
              </w:rPr>
              <w:t>0,3 %</w:t>
            </w:r>
          </w:p>
        </w:tc>
        <w:tc>
          <w:tcPr>
            <w:tcW w:w="1727" w:type="dxa"/>
            <w:vAlign w:val="bottom"/>
          </w:tcPr>
          <w:p w14:paraId="5A18264F" w14:textId="1E29025C"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-0,2 %</w:t>
            </w:r>
          </w:p>
        </w:tc>
        <w:tc>
          <w:tcPr>
            <w:tcW w:w="1485" w:type="dxa"/>
            <w:vAlign w:val="bottom"/>
          </w:tcPr>
          <w:p w14:paraId="6B829637" w14:textId="7089D65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1.484 €</w:t>
            </w:r>
          </w:p>
        </w:tc>
      </w:tr>
      <w:tr w:rsidR="008B228B" w:rsidRPr="008B228B" w14:paraId="07D71E3E"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0967ED3" w14:textId="28AEBFA6"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388C441D" w14:textId="4F015243"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Jaén</w:t>
            </w:r>
          </w:p>
        </w:tc>
        <w:tc>
          <w:tcPr>
            <w:tcW w:w="1846" w:type="dxa"/>
            <w:vAlign w:val="bottom"/>
          </w:tcPr>
          <w:p w14:paraId="781DCFBE" w14:textId="5647573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-2,2 %</w:t>
            </w:r>
          </w:p>
        </w:tc>
        <w:tc>
          <w:tcPr>
            <w:tcW w:w="1727" w:type="dxa"/>
            <w:vAlign w:val="bottom"/>
          </w:tcPr>
          <w:p w14:paraId="2AB7A99B" w14:textId="4116D73C"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-0,4 %</w:t>
            </w:r>
          </w:p>
        </w:tc>
        <w:tc>
          <w:tcPr>
            <w:tcW w:w="1485" w:type="dxa"/>
            <w:vAlign w:val="bottom"/>
          </w:tcPr>
          <w:p w14:paraId="62F26344" w14:textId="73D2DBB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1.072 €</w:t>
            </w:r>
          </w:p>
        </w:tc>
      </w:tr>
      <w:tr w:rsidR="008B228B" w:rsidRPr="008B228B" w14:paraId="56559A0D"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2AFF1A2" w14:textId="024A17C7"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12D5CE23" w14:textId="0B64E322"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Burgos</w:t>
            </w:r>
          </w:p>
        </w:tc>
        <w:tc>
          <w:tcPr>
            <w:tcW w:w="1846" w:type="dxa"/>
            <w:vAlign w:val="bottom"/>
          </w:tcPr>
          <w:p w14:paraId="2F51D8FA" w14:textId="12181856"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-0,8 %</w:t>
            </w:r>
          </w:p>
        </w:tc>
        <w:tc>
          <w:tcPr>
            <w:tcW w:w="1727" w:type="dxa"/>
            <w:vAlign w:val="bottom"/>
          </w:tcPr>
          <w:p w14:paraId="71FDB480" w14:textId="27B96AB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-0,5 %</w:t>
            </w:r>
          </w:p>
        </w:tc>
        <w:tc>
          <w:tcPr>
            <w:tcW w:w="1485" w:type="dxa"/>
            <w:vAlign w:val="bottom"/>
          </w:tcPr>
          <w:p w14:paraId="2D028FDB" w14:textId="0092EFD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1.519 €</w:t>
            </w:r>
          </w:p>
        </w:tc>
      </w:tr>
      <w:tr w:rsidR="008B228B" w:rsidRPr="008B228B" w14:paraId="5B2CE5A2"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D03C83B" w14:textId="72E06776"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Castilla-La Mancha</w:t>
            </w:r>
          </w:p>
        </w:tc>
        <w:tc>
          <w:tcPr>
            <w:tcW w:w="1982" w:type="dxa"/>
            <w:vAlign w:val="bottom"/>
          </w:tcPr>
          <w:p w14:paraId="05253B4E" w14:textId="5DF78EAE"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Ciudad Real</w:t>
            </w:r>
          </w:p>
        </w:tc>
        <w:tc>
          <w:tcPr>
            <w:tcW w:w="1846" w:type="dxa"/>
            <w:vAlign w:val="bottom"/>
          </w:tcPr>
          <w:p w14:paraId="0060D7D6" w14:textId="3EC6BDEF"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-2,5 %</w:t>
            </w:r>
          </w:p>
        </w:tc>
        <w:tc>
          <w:tcPr>
            <w:tcW w:w="1727" w:type="dxa"/>
            <w:vAlign w:val="bottom"/>
          </w:tcPr>
          <w:p w14:paraId="1E44DE92" w14:textId="3861D7EF"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-0,6 %</w:t>
            </w:r>
          </w:p>
        </w:tc>
        <w:tc>
          <w:tcPr>
            <w:tcW w:w="1485" w:type="dxa"/>
            <w:vAlign w:val="bottom"/>
          </w:tcPr>
          <w:p w14:paraId="531B58DD" w14:textId="5A5C9C93"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982 €</w:t>
            </w:r>
          </w:p>
        </w:tc>
      </w:tr>
      <w:tr w:rsidR="008B228B" w:rsidRPr="008B228B" w14:paraId="079765C0"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4725F67" w14:textId="3774186E"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12C2CD4F" w14:textId="40CB4AE6"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Palencia</w:t>
            </w:r>
          </w:p>
        </w:tc>
        <w:tc>
          <w:tcPr>
            <w:tcW w:w="1846" w:type="dxa"/>
            <w:vAlign w:val="bottom"/>
          </w:tcPr>
          <w:p w14:paraId="564B0FD6" w14:textId="1F6BD31F"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-1,3 %</w:t>
            </w:r>
          </w:p>
        </w:tc>
        <w:tc>
          <w:tcPr>
            <w:tcW w:w="1727" w:type="dxa"/>
            <w:vAlign w:val="bottom"/>
          </w:tcPr>
          <w:p w14:paraId="18AB712B" w14:textId="386B768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-0,6 %</w:t>
            </w:r>
          </w:p>
        </w:tc>
        <w:tc>
          <w:tcPr>
            <w:tcW w:w="1485" w:type="dxa"/>
            <w:vAlign w:val="bottom"/>
          </w:tcPr>
          <w:p w14:paraId="04212BBB" w14:textId="59CF67E2"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1.440 €</w:t>
            </w:r>
          </w:p>
        </w:tc>
      </w:tr>
      <w:tr w:rsidR="008B228B" w:rsidRPr="008B228B" w14:paraId="106A95FF"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6272ECC" w14:textId="749B824F"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383B1CDB" w14:textId="2AE24EC4"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Salamanca</w:t>
            </w:r>
          </w:p>
        </w:tc>
        <w:tc>
          <w:tcPr>
            <w:tcW w:w="1846" w:type="dxa"/>
            <w:vAlign w:val="bottom"/>
          </w:tcPr>
          <w:p w14:paraId="4ECEC1BE" w14:textId="004B9CA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-1,5 %</w:t>
            </w:r>
          </w:p>
        </w:tc>
        <w:tc>
          <w:tcPr>
            <w:tcW w:w="1727" w:type="dxa"/>
            <w:vAlign w:val="bottom"/>
          </w:tcPr>
          <w:p w14:paraId="6CEB7B19" w14:textId="06F17CD2"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-0,8 %</w:t>
            </w:r>
          </w:p>
        </w:tc>
        <w:tc>
          <w:tcPr>
            <w:tcW w:w="1485" w:type="dxa"/>
            <w:vAlign w:val="bottom"/>
          </w:tcPr>
          <w:p w14:paraId="20DE6F8F" w14:textId="67D4369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1.717 €</w:t>
            </w:r>
          </w:p>
        </w:tc>
      </w:tr>
      <w:tr w:rsidR="008B228B" w:rsidRPr="008B228B" w14:paraId="01C23C3E"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4091154" w14:textId="7D5A07AE"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4AEABE79" w14:textId="29F62629"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Granada</w:t>
            </w:r>
          </w:p>
        </w:tc>
        <w:tc>
          <w:tcPr>
            <w:tcW w:w="1846" w:type="dxa"/>
            <w:vAlign w:val="bottom"/>
          </w:tcPr>
          <w:p w14:paraId="2A9A0492" w14:textId="4834321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-1,5 %</w:t>
            </w:r>
          </w:p>
        </w:tc>
        <w:tc>
          <w:tcPr>
            <w:tcW w:w="1727" w:type="dxa"/>
            <w:vAlign w:val="bottom"/>
          </w:tcPr>
          <w:p w14:paraId="71AE1BFE" w14:textId="5888287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-1,3 %</w:t>
            </w:r>
          </w:p>
        </w:tc>
        <w:tc>
          <w:tcPr>
            <w:tcW w:w="1485" w:type="dxa"/>
            <w:vAlign w:val="bottom"/>
          </w:tcPr>
          <w:p w14:paraId="3F74E000" w14:textId="451F4F81"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1.576 €</w:t>
            </w:r>
          </w:p>
        </w:tc>
      </w:tr>
      <w:tr w:rsidR="008B228B" w:rsidRPr="008B228B" w14:paraId="5E98916F"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38DBAA4" w14:textId="6001056E"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Galicia</w:t>
            </w:r>
          </w:p>
        </w:tc>
        <w:tc>
          <w:tcPr>
            <w:tcW w:w="1982" w:type="dxa"/>
            <w:vAlign w:val="bottom"/>
          </w:tcPr>
          <w:p w14:paraId="3F3DEE30" w14:textId="45A5818B"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 Coruña</w:t>
            </w:r>
          </w:p>
        </w:tc>
        <w:tc>
          <w:tcPr>
            <w:tcW w:w="1846" w:type="dxa"/>
            <w:vAlign w:val="bottom"/>
          </w:tcPr>
          <w:p w14:paraId="45E7724A" w14:textId="3A5D9A5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-2,2 %</w:t>
            </w:r>
          </w:p>
        </w:tc>
        <w:tc>
          <w:tcPr>
            <w:tcW w:w="1727" w:type="dxa"/>
            <w:vAlign w:val="bottom"/>
          </w:tcPr>
          <w:p w14:paraId="5B186C54" w14:textId="346C55FD"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-1,5 %</w:t>
            </w:r>
          </w:p>
        </w:tc>
        <w:tc>
          <w:tcPr>
            <w:tcW w:w="1485" w:type="dxa"/>
            <w:vAlign w:val="bottom"/>
          </w:tcPr>
          <w:p w14:paraId="5300BE7D" w14:textId="12F5ECA6"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1.674 €</w:t>
            </w:r>
          </w:p>
        </w:tc>
      </w:tr>
      <w:tr w:rsidR="008B228B" w:rsidRPr="008B228B" w14:paraId="01C64728"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E1028DE" w14:textId="2DDAF909"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Extremadura</w:t>
            </w:r>
          </w:p>
        </w:tc>
        <w:tc>
          <w:tcPr>
            <w:tcW w:w="1982" w:type="dxa"/>
            <w:vAlign w:val="bottom"/>
          </w:tcPr>
          <w:p w14:paraId="6CFC8272" w14:textId="138A3D3B"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Cáceres</w:t>
            </w:r>
          </w:p>
        </w:tc>
        <w:tc>
          <w:tcPr>
            <w:tcW w:w="1846" w:type="dxa"/>
            <w:vAlign w:val="bottom"/>
          </w:tcPr>
          <w:p w14:paraId="2E25394A" w14:textId="13C0F269"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-1,0 %</w:t>
            </w:r>
          </w:p>
        </w:tc>
        <w:tc>
          <w:tcPr>
            <w:tcW w:w="1727" w:type="dxa"/>
            <w:vAlign w:val="bottom"/>
          </w:tcPr>
          <w:p w14:paraId="651398AF" w14:textId="2EE48867"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-1,6 %</w:t>
            </w:r>
          </w:p>
        </w:tc>
        <w:tc>
          <w:tcPr>
            <w:tcW w:w="1485" w:type="dxa"/>
            <w:vAlign w:val="bottom"/>
          </w:tcPr>
          <w:p w14:paraId="3BD55262" w14:textId="1331AF1B"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1.134 €</w:t>
            </w:r>
          </w:p>
        </w:tc>
      </w:tr>
      <w:tr w:rsidR="008B228B" w:rsidRPr="008B228B" w14:paraId="6B317D16"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EA47CEF" w14:textId="7901B4B5"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7759A787" w14:textId="0C7F556D"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Soria</w:t>
            </w:r>
          </w:p>
        </w:tc>
        <w:tc>
          <w:tcPr>
            <w:tcW w:w="1846" w:type="dxa"/>
            <w:vAlign w:val="bottom"/>
          </w:tcPr>
          <w:p w14:paraId="457CDA8E" w14:textId="26B41D8D"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-1,8 %</w:t>
            </w:r>
          </w:p>
        </w:tc>
        <w:tc>
          <w:tcPr>
            <w:tcW w:w="1727" w:type="dxa"/>
            <w:vAlign w:val="bottom"/>
          </w:tcPr>
          <w:p w14:paraId="61D964CE" w14:textId="7DA617B6"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-1,7 %</w:t>
            </w:r>
          </w:p>
        </w:tc>
        <w:tc>
          <w:tcPr>
            <w:tcW w:w="1485" w:type="dxa"/>
            <w:vAlign w:val="bottom"/>
          </w:tcPr>
          <w:p w14:paraId="6BFD3043" w14:textId="3EB980D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1.214 €</w:t>
            </w:r>
          </w:p>
        </w:tc>
      </w:tr>
      <w:tr w:rsidR="008B228B" w:rsidRPr="008B228B" w14:paraId="6D3B6F4A"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498B3D8" w14:textId="7D376425"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Comunitat Valenciana</w:t>
            </w:r>
          </w:p>
        </w:tc>
        <w:tc>
          <w:tcPr>
            <w:tcW w:w="1982" w:type="dxa"/>
            <w:vAlign w:val="bottom"/>
          </w:tcPr>
          <w:p w14:paraId="5138533D" w14:textId="00D4EAC5"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Castellón</w:t>
            </w:r>
          </w:p>
        </w:tc>
        <w:tc>
          <w:tcPr>
            <w:tcW w:w="1846" w:type="dxa"/>
            <w:vAlign w:val="bottom"/>
          </w:tcPr>
          <w:p w14:paraId="78DE28F8" w14:textId="60EF2AA4"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-1,3 %</w:t>
            </w:r>
          </w:p>
        </w:tc>
        <w:tc>
          <w:tcPr>
            <w:tcW w:w="1727" w:type="dxa"/>
            <w:vAlign w:val="bottom"/>
          </w:tcPr>
          <w:p w14:paraId="7DD69BD0" w14:textId="0AE0FFB5"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-1,8 %</w:t>
            </w:r>
          </w:p>
        </w:tc>
        <w:tc>
          <w:tcPr>
            <w:tcW w:w="1485" w:type="dxa"/>
            <w:vAlign w:val="bottom"/>
          </w:tcPr>
          <w:p w14:paraId="2D248628" w14:textId="3357309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1.122 €</w:t>
            </w:r>
          </w:p>
        </w:tc>
      </w:tr>
      <w:tr w:rsidR="008B228B" w:rsidRPr="008B228B" w14:paraId="0C02AA79"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C296405" w14:textId="01CFFA63"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7AEECA49" w14:textId="28D208D0"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Ávila</w:t>
            </w:r>
          </w:p>
        </w:tc>
        <w:tc>
          <w:tcPr>
            <w:tcW w:w="1846" w:type="dxa"/>
            <w:vAlign w:val="bottom"/>
          </w:tcPr>
          <w:p w14:paraId="35D354BF" w14:textId="4CA1C663"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-1,0 %</w:t>
            </w:r>
          </w:p>
        </w:tc>
        <w:tc>
          <w:tcPr>
            <w:tcW w:w="1727" w:type="dxa"/>
            <w:vAlign w:val="bottom"/>
          </w:tcPr>
          <w:p w14:paraId="0766F18A" w14:textId="6352C5EC"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-1,9 %</w:t>
            </w:r>
          </w:p>
        </w:tc>
        <w:tc>
          <w:tcPr>
            <w:tcW w:w="1485" w:type="dxa"/>
            <w:vAlign w:val="bottom"/>
          </w:tcPr>
          <w:p w14:paraId="134CFFEC" w14:textId="57C41E8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1.010 €</w:t>
            </w:r>
          </w:p>
        </w:tc>
      </w:tr>
      <w:tr w:rsidR="008B228B" w:rsidRPr="008B228B" w14:paraId="56528603"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0D4F8FE" w14:textId="06F5FF61"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Andalucía</w:t>
            </w:r>
          </w:p>
        </w:tc>
        <w:tc>
          <w:tcPr>
            <w:tcW w:w="1982" w:type="dxa"/>
            <w:vAlign w:val="bottom"/>
          </w:tcPr>
          <w:p w14:paraId="2560F574" w14:textId="15A16A6F"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Almería</w:t>
            </w:r>
          </w:p>
        </w:tc>
        <w:tc>
          <w:tcPr>
            <w:tcW w:w="1846" w:type="dxa"/>
            <w:vAlign w:val="bottom"/>
          </w:tcPr>
          <w:p w14:paraId="13B51A11" w14:textId="37FEECE6"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-1,0 %</w:t>
            </w:r>
          </w:p>
        </w:tc>
        <w:tc>
          <w:tcPr>
            <w:tcW w:w="1727" w:type="dxa"/>
            <w:vAlign w:val="bottom"/>
          </w:tcPr>
          <w:p w14:paraId="25B5B720" w14:textId="420E9DD8"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-2,0 %</w:t>
            </w:r>
          </w:p>
        </w:tc>
        <w:tc>
          <w:tcPr>
            <w:tcW w:w="1485" w:type="dxa"/>
            <w:vAlign w:val="bottom"/>
          </w:tcPr>
          <w:p w14:paraId="473EFBE6" w14:textId="4C870BD8"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1.191 €</w:t>
            </w:r>
          </w:p>
        </w:tc>
      </w:tr>
      <w:tr w:rsidR="008B228B" w:rsidRPr="008B228B" w14:paraId="61C0F94E"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6EC0AAA" w14:textId="51FBDC92"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1861F2FA" w14:textId="0D17CD95"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Segovia</w:t>
            </w:r>
          </w:p>
        </w:tc>
        <w:tc>
          <w:tcPr>
            <w:tcW w:w="1846" w:type="dxa"/>
            <w:vAlign w:val="bottom"/>
          </w:tcPr>
          <w:p w14:paraId="00B324C9" w14:textId="7BC7FEE7"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-3,5 %</w:t>
            </w:r>
          </w:p>
        </w:tc>
        <w:tc>
          <w:tcPr>
            <w:tcW w:w="1727" w:type="dxa"/>
            <w:vAlign w:val="bottom"/>
          </w:tcPr>
          <w:p w14:paraId="7396DCD4" w14:textId="632AE45B"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-2,2 %</w:t>
            </w:r>
          </w:p>
        </w:tc>
        <w:tc>
          <w:tcPr>
            <w:tcW w:w="1485" w:type="dxa"/>
            <w:vAlign w:val="bottom"/>
          </w:tcPr>
          <w:p w14:paraId="7DA2987D" w14:textId="31BA03D1"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1.318 €</w:t>
            </w:r>
          </w:p>
        </w:tc>
      </w:tr>
      <w:tr w:rsidR="008B228B" w:rsidRPr="008B228B" w14:paraId="7CBAB138"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32915F4" w14:textId="11352731"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 y León</w:t>
            </w:r>
          </w:p>
        </w:tc>
        <w:tc>
          <w:tcPr>
            <w:tcW w:w="1982" w:type="dxa"/>
            <w:vAlign w:val="bottom"/>
          </w:tcPr>
          <w:p w14:paraId="1A3C0BB5" w14:textId="78213E45"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Zamora</w:t>
            </w:r>
          </w:p>
        </w:tc>
        <w:tc>
          <w:tcPr>
            <w:tcW w:w="1846" w:type="dxa"/>
            <w:vAlign w:val="bottom"/>
          </w:tcPr>
          <w:p w14:paraId="0C99DEF9" w14:textId="0681EA5C"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-3,0 %</w:t>
            </w:r>
          </w:p>
        </w:tc>
        <w:tc>
          <w:tcPr>
            <w:tcW w:w="1727" w:type="dxa"/>
            <w:vAlign w:val="bottom"/>
          </w:tcPr>
          <w:p w14:paraId="060B9D20" w14:textId="7BE26747"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-2,9 %</w:t>
            </w:r>
          </w:p>
        </w:tc>
        <w:tc>
          <w:tcPr>
            <w:tcW w:w="1485" w:type="dxa"/>
            <w:vAlign w:val="bottom"/>
          </w:tcPr>
          <w:p w14:paraId="06977D9D" w14:textId="2399395D"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1.211 €</w:t>
            </w:r>
          </w:p>
        </w:tc>
      </w:tr>
      <w:tr w:rsidR="008B228B" w:rsidRPr="008B228B" w14:paraId="586CA3AC"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12DB299" w14:textId="45120D42"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Aragón</w:t>
            </w:r>
          </w:p>
        </w:tc>
        <w:tc>
          <w:tcPr>
            <w:tcW w:w="1982" w:type="dxa"/>
            <w:vAlign w:val="bottom"/>
          </w:tcPr>
          <w:p w14:paraId="712957CB" w14:textId="06110C33"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Huesca</w:t>
            </w:r>
          </w:p>
        </w:tc>
        <w:tc>
          <w:tcPr>
            <w:tcW w:w="1846" w:type="dxa"/>
            <w:vAlign w:val="bottom"/>
          </w:tcPr>
          <w:p w14:paraId="5A19FA22" w14:textId="389B2074"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-3,7 %</w:t>
            </w:r>
          </w:p>
        </w:tc>
        <w:tc>
          <w:tcPr>
            <w:tcW w:w="1727" w:type="dxa"/>
            <w:vAlign w:val="bottom"/>
          </w:tcPr>
          <w:p w14:paraId="319DE011" w14:textId="49B8253A"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-2,9 %</w:t>
            </w:r>
          </w:p>
        </w:tc>
        <w:tc>
          <w:tcPr>
            <w:tcW w:w="1485" w:type="dxa"/>
            <w:vAlign w:val="bottom"/>
          </w:tcPr>
          <w:p w14:paraId="10A9AD5E" w14:textId="017592B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1.344 €</w:t>
            </w:r>
          </w:p>
        </w:tc>
      </w:tr>
      <w:tr w:rsidR="008B228B" w:rsidRPr="008B228B" w14:paraId="27603FD1" w14:textId="77777777" w:rsidTr="00953F0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ACFE3FC" w14:textId="134ACCB9"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Castilla-La Mancha</w:t>
            </w:r>
          </w:p>
        </w:tc>
        <w:tc>
          <w:tcPr>
            <w:tcW w:w="1982" w:type="dxa"/>
            <w:vAlign w:val="bottom"/>
          </w:tcPr>
          <w:p w14:paraId="746A26F7" w14:textId="443AF679" w:rsidR="008B228B" w:rsidRPr="008B228B" w:rsidRDefault="008B228B" w:rsidP="008B228B">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Cuenca</w:t>
            </w:r>
          </w:p>
        </w:tc>
        <w:tc>
          <w:tcPr>
            <w:tcW w:w="1846" w:type="dxa"/>
            <w:vAlign w:val="bottom"/>
          </w:tcPr>
          <w:p w14:paraId="2765CB91" w14:textId="1508C3F3"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-6,2 %</w:t>
            </w:r>
          </w:p>
        </w:tc>
        <w:tc>
          <w:tcPr>
            <w:tcW w:w="1727" w:type="dxa"/>
            <w:vAlign w:val="bottom"/>
          </w:tcPr>
          <w:p w14:paraId="073F3AA4" w14:textId="3E610AB6"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-3,5 %</w:t>
            </w:r>
          </w:p>
        </w:tc>
        <w:tc>
          <w:tcPr>
            <w:tcW w:w="1485" w:type="dxa"/>
            <w:vAlign w:val="bottom"/>
          </w:tcPr>
          <w:p w14:paraId="1FB96B90" w14:textId="58796EF0" w:rsidR="008B228B" w:rsidRPr="008B228B" w:rsidRDefault="008B228B" w:rsidP="008B228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1.084 €</w:t>
            </w:r>
          </w:p>
        </w:tc>
      </w:tr>
      <w:tr w:rsidR="008B228B" w:rsidRPr="008B228B" w14:paraId="344F5937" w14:textId="77777777" w:rsidTr="00953F07">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27CF9DC" w14:textId="0C81E43F" w:rsidR="008B228B" w:rsidRPr="008B228B" w:rsidRDefault="008B228B" w:rsidP="008B228B">
            <w:pPr>
              <w:rPr>
                <w:rFonts w:ascii="Open Sans" w:hAnsi="Open Sans" w:cs="Open Sans"/>
                <w:b w:val="0"/>
                <w:bCs w:val="0"/>
                <w:sz w:val="22"/>
                <w:szCs w:val="22"/>
              </w:rPr>
            </w:pPr>
            <w:r w:rsidRPr="008B228B">
              <w:rPr>
                <w:rFonts w:ascii="Open Sans" w:hAnsi="Open Sans" w:cs="Open Sans"/>
                <w:b w:val="0"/>
                <w:bCs w:val="0"/>
                <w:sz w:val="22"/>
                <w:szCs w:val="22"/>
              </w:rPr>
              <w:t>Cataluña</w:t>
            </w:r>
          </w:p>
        </w:tc>
        <w:tc>
          <w:tcPr>
            <w:tcW w:w="1982" w:type="dxa"/>
            <w:vAlign w:val="bottom"/>
          </w:tcPr>
          <w:p w14:paraId="7F8A4AF4" w14:textId="34B70057" w:rsidR="008B228B" w:rsidRPr="008B228B" w:rsidRDefault="008B228B" w:rsidP="008B228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Lleida</w:t>
            </w:r>
          </w:p>
        </w:tc>
        <w:tc>
          <w:tcPr>
            <w:tcW w:w="1846" w:type="dxa"/>
            <w:vAlign w:val="bottom"/>
          </w:tcPr>
          <w:p w14:paraId="776A7144" w14:textId="7E7F2D60"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228B">
              <w:rPr>
                <w:rFonts w:ascii="Open Sans" w:hAnsi="Open Sans" w:cs="Open Sans"/>
                <w:color w:val="9C0006"/>
                <w:sz w:val="22"/>
                <w:szCs w:val="22"/>
              </w:rPr>
              <w:t>-2,4 %</w:t>
            </w:r>
          </w:p>
        </w:tc>
        <w:tc>
          <w:tcPr>
            <w:tcW w:w="1727" w:type="dxa"/>
            <w:vAlign w:val="bottom"/>
          </w:tcPr>
          <w:p w14:paraId="49883D02" w14:textId="4D973F49"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228B">
              <w:rPr>
                <w:rFonts w:ascii="Open Sans" w:hAnsi="Open Sans" w:cs="Open Sans"/>
                <w:b/>
                <w:color w:val="9C0006"/>
                <w:sz w:val="22"/>
                <w:szCs w:val="22"/>
              </w:rPr>
              <w:t>-4,3 %</w:t>
            </w:r>
          </w:p>
        </w:tc>
        <w:tc>
          <w:tcPr>
            <w:tcW w:w="1485" w:type="dxa"/>
            <w:vAlign w:val="bottom"/>
          </w:tcPr>
          <w:p w14:paraId="0A994095" w14:textId="6A72B848" w:rsidR="008B228B" w:rsidRPr="008B228B" w:rsidRDefault="008B228B" w:rsidP="008B228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228B">
              <w:rPr>
                <w:rFonts w:ascii="Open Sans" w:hAnsi="Open Sans" w:cs="Open Sans"/>
                <w:color w:val="000000"/>
                <w:sz w:val="22"/>
                <w:szCs w:val="22"/>
              </w:rPr>
              <w:t>1.149 €</w:t>
            </w:r>
          </w:p>
        </w:tc>
      </w:tr>
    </w:tbl>
    <w:p w14:paraId="441C641F" w14:textId="77777777" w:rsidR="008B228B" w:rsidRDefault="008B228B" w:rsidP="008B228B">
      <w:pPr>
        <w:spacing w:line="276" w:lineRule="auto"/>
        <w:ind w:right="-574"/>
        <w:jc w:val="both"/>
        <w:rPr>
          <w:rFonts w:ascii="Open Sans Light" w:hAnsi="Open Sans Light" w:cs="Open Sans Light"/>
          <w:b/>
          <w:iCs/>
          <w:color w:val="303AB2"/>
          <w:sz w:val="28"/>
          <w:szCs w:val="22"/>
          <w:lang w:val="es-ES"/>
        </w:rPr>
      </w:pPr>
    </w:p>
    <w:p w14:paraId="7D961766" w14:textId="570744E2" w:rsidR="004C1FF5" w:rsidRPr="00C5673A" w:rsidRDefault="005673F2" w:rsidP="005673F2">
      <w:pPr>
        <w:pStyle w:val="NormalWeb"/>
        <w:shd w:val="clear" w:color="auto" w:fill="FFFFFF"/>
        <w:spacing w:line="276" w:lineRule="auto"/>
        <w:ind w:right="-574"/>
        <w:rPr>
          <w:rFonts w:ascii="Open Sans Light" w:hAnsi="Open Sans Light" w:cs="Open Sans Light"/>
          <w:b/>
          <w:iCs/>
          <w:color w:val="303AB2"/>
        </w:rPr>
      </w:pPr>
      <w:r w:rsidRPr="00C5673A">
        <w:rPr>
          <w:rFonts w:ascii="Open Sans Light" w:hAnsi="Open Sans Light" w:cs="Open Sans Light"/>
          <w:b/>
          <w:iCs/>
          <w:color w:val="303AB2"/>
        </w:rPr>
        <w:lastRenderedPageBreak/>
        <w:t xml:space="preserve">Tabla </w:t>
      </w:r>
      <w:r w:rsidR="00C5673A">
        <w:rPr>
          <w:rFonts w:ascii="Open Sans Light" w:hAnsi="Open Sans Light" w:cs="Open Sans Light"/>
          <w:b/>
          <w:iCs/>
          <w:color w:val="303AB2"/>
        </w:rPr>
        <w:t>3</w:t>
      </w:r>
      <w:r w:rsidRPr="00C5673A">
        <w:rPr>
          <w:rFonts w:ascii="Open Sans Light" w:hAnsi="Open Sans Light" w:cs="Open Sans Light"/>
          <w:b/>
          <w:iCs/>
          <w:color w:val="303AB2"/>
        </w:rPr>
        <w:t>: Capitales de provincia</w:t>
      </w:r>
      <w:r w:rsidR="004C1FF5" w:rsidRPr="00C5673A">
        <w:rPr>
          <w:rFonts w:ascii="Open Sans Light" w:hAnsi="Open Sans Light" w:cs="Open Sans Light"/>
          <w:b/>
          <w:iCs/>
          <w:color w:val="303AB2"/>
        </w:rPr>
        <w:t xml:space="preserve"> de mayor a menor incremento semestral (dic.18 – jun.19)</w:t>
      </w:r>
    </w:p>
    <w:tbl>
      <w:tblPr>
        <w:tblStyle w:val="Tablaconcuadrcula5oscura-nfasis3"/>
        <w:tblW w:w="9019" w:type="dxa"/>
        <w:tblLook w:val="04A0" w:firstRow="1" w:lastRow="0" w:firstColumn="1" w:lastColumn="0" w:noHBand="0" w:noVBand="1"/>
      </w:tblPr>
      <w:tblGrid>
        <w:gridCol w:w="1696"/>
        <w:gridCol w:w="2127"/>
        <w:gridCol w:w="1984"/>
        <w:gridCol w:w="1727"/>
        <w:gridCol w:w="1485"/>
      </w:tblGrid>
      <w:tr w:rsidR="00C15353" w:rsidRPr="00271926" w14:paraId="7219BAC1" w14:textId="77777777" w:rsidTr="00B1129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center"/>
          </w:tcPr>
          <w:p w14:paraId="020C9593" w14:textId="77777777" w:rsidR="00C15353" w:rsidRPr="004C1FF5" w:rsidRDefault="00C15353" w:rsidP="00B11292">
            <w:pPr>
              <w:rPr>
                <w:rFonts w:ascii="Open Sans" w:hAnsi="Open Sans" w:cs="Open Sans"/>
                <w:bCs w:val="0"/>
                <w:sz w:val="22"/>
                <w:szCs w:val="22"/>
                <w:lang w:val="es-ES"/>
              </w:rPr>
            </w:pPr>
            <w:r w:rsidRPr="004C1FF5">
              <w:rPr>
                <w:rFonts w:ascii="Open Sans" w:hAnsi="Open Sans" w:cs="Open Sans"/>
                <w:bCs w:val="0"/>
                <w:sz w:val="22"/>
                <w:szCs w:val="22"/>
                <w:lang w:val="es-ES"/>
              </w:rPr>
              <w:t>Provincia</w:t>
            </w:r>
          </w:p>
        </w:tc>
        <w:tc>
          <w:tcPr>
            <w:tcW w:w="2127" w:type="dxa"/>
            <w:shd w:val="clear" w:color="auto" w:fill="1DBDC5"/>
            <w:vAlign w:val="center"/>
          </w:tcPr>
          <w:p w14:paraId="37D2E312" w14:textId="77777777" w:rsidR="00C15353" w:rsidRPr="00271926" w:rsidRDefault="00C15353" w:rsidP="00B11292">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Pr>
                <w:rFonts w:ascii="Open Sans" w:hAnsi="Open Sans" w:cs="Open Sans"/>
                <w:bCs w:val="0"/>
                <w:sz w:val="22"/>
                <w:szCs w:val="22"/>
                <w:lang w:val="es-ES"/>
              </w:rPr>
              <w:t>Municipio</w:t>
            </w:r>
          </w:p>
        </w:tc>
        <w:tc>
          <w:tcPr>
            <w:tcW w:w="1984" w:type="dxa"/>
            <w:shd w:val="clear" w:color="auto" w:fill="1DBDC5"/>
          </w:tcPr>
          <w:p w14:paraId="305E0C00" w14:textId="77777777" w:rsidR="00C15353" w:rsidRPr="00271926"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Variación</w:t>
            </w:r>
          </w:p>
          <w:p w14:paraId="22FF1A0B" w14:textId="77777777" w:rsidR="00C15353" w:rsidRPr="00271926"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Pr>
                <w:rFonts w:ascii="Open Sans" w:hAnsi="Open Sans" w:cs="Open Sans"/>
                <w:bCs w:val="0"/>
                <w:sz w:val="22"/>
                <w:szCs w:val="22"/>
                <w:lang w:val="es-ES"/>
              </w:rPr>
              <w:t>trimestral</w:t>
            </w:r>
            <w:r w:rsidRPr="00271926">
              <w:rPr>
                <w:rFonts w:ascii="Open Sans" w:hAnsi="Open Sans" w:cs="Open Sans"/>
                <w:bCs w:val="0"/>
                <w:sz w:val="22"/>
                <w:szCs w:val="22"/>
                <w:lang w:val="es-ES"/>
              </w:rPr>
              <w:t xml:space="preserve"> (%)</w:t>
            </w:r>
          </w:p>
        </w:tc>
        <w:tc>
          <w:tcPr>
            <w:tcW w:w="1727" w:type="dxa"/>
            <w:shd w:val="clear" w:color="auto" w:fill="1DBDC5"/>
          </w:tcPr>
          <w:p w14:paraId="2F96DAC2" w14:textId="77777777" w:rsidR="00C15353" w:rsidRPr="00C5673A"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5673A">
              <w:rPr>
                <w:rFonts w:ascii="Open Sans" w:hAnsi="Open Sans" w:cs="Open Sans"/>
                <w:bCs w:val="0"/>
                <w:sz w:val="22"/>
                <w:szCs w:val="22"/>
                <w:lang w:val="es-ES"/>
              </w:rPr>
              <w:t>Variación</w:t>
            </w:r>
          </w:p>
          <w:p w14:paraId="4953183F" w14:textId="77777777" w:rsidR="00C15353" w:rsidRPr="00C5673A"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5673A">
              <w:rPr>
                <w:rFonts w:ascii="Open Sans" w:hAnsi="Open Sans" w:cs="Open Sans"/>
                <w:bCs w:val="0"/>
                <w:sz w:val="22"/>
                <w:szCs w:val="22"/>
                <w:lang w:val="es-ES"/>
              </w:rPr>
              <w:t>semestral (%)</w:t>
            </w:r>
          </w:p>
        </w:tc>
        <w:tc>
          <w:tcPr>
            <w:tcW w:w="1485" w:type="dxa"/>
            <w:shd w:val="clear" w:color="auto" w:fill="1DBDC5"/>
          </w:tcPr>
          <w:p w14:paraId="13D60593" w14:textId="77777777" w:rsidR="00C15353" w:rsidRPr="00271926"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Junio 2019</w:t>
            </w:r>
          </w:p>
          <w:p w14:paraId="14A0A655" w14:textId="77777777" w:rsidR="00C15353" w:rsidRPr="00271926" w:rsidRDefault="00C15353" w:rsidP="00ED33D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271926">
              <w:rPr>
                <w:rFonts w:ascii="Open Sans" w:hAnsi="Open Sans" w:cs="Open Sans"/>
                <w:bCs w:val="0"/>
                <w:sz w:val="22"/>
                <w:szCs w:val="22"/>
                <w:lang w:val="es-ES"/>
              </w:rPr>
              <w:t>(€/m²)</w:t>
            </w:r>
          </w:p>
        </w:tc>
      </w:tr>
      <w:tr w:rsidR="00C5673A" w:rsidRPr="00271926" w14:paraId="1DA53675"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01E80F0" w14:textId="2383C608" w:rsidR="00C5673A" w:rsidRPr="00C5673A" w:rsidRDefault="00C5673A" w:rsidP="00C5673A">
            <w:pPr>
              <w:rPr>
                <w:b w:val="0"/>
                <w:bCs w:val="0"/>
              </w:rPr>
            </w:pPr>
            <w:r w:rsidRPr="00C5673A">
              <w:rPr>
                <w:rFonts w:ascii="Open Sans" w:hAnsi="Open Sans" w:cs="Open Sans"/>
                <w:b w:val="0"/>
                <w:bCs w:val="0"/>
                <w:sz w:val="22"/>
                <w:szCs w:val="22"/>
              </w:rPr>
              <w:t>Santa Cruz de Tenerife</w:t>
            </w:r>
          </w:p>
        </w:tc>
        <w:tc>
          <w:tcPr>
            <w:tcW w:w="2127" w:type="dxa"/>
            <w:vAlign w:val="bottom"/>
          </w:tcPr>
          <w:p w14:paraId="0D4556B9" w14:textId="509A4548"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Santa Cruz de Tenerife </w:t>
            </w:r>
          </w:p>
        </w:tc>
        <w:tc>
          <w:tcPr>
            <w:tcW w:w="1984" w:type="dxa"/>
            <w:vAlign w:val="bottom"/>
          </w:tcPr>
          <w:p w14:paraId="381CC163" w14:textId="1EC5DB75"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4,0 %</w:t>
            </w:r>
          </w:p>
        </w:tc>
        <w:tc>
          <w:tcPr>
            <w:tcW w:w="1727" w:type="dxa"/>
            <w:vAlign w:val="bottom"/>
          </w:tcPr>
          <w:p w14:paraId="4233C60F" w14:textId="17CEB91E"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8,8 %</w:t>
            </w:r>
          </w:p>
        </w:tc>
        <w:tc>
          <w:tcPr>
            <w:tcW w:w="1485" w:type="dxa"/>
            <w:vAlign w:val="bottom"/>
          </w:tcPr>
          <w:p w14:paraId="57421825" w14:textId="6052D2A5"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1.591 €</w:t>
            </w:r>
          </w:p>
        </w:tc>
      </w:tr>
      <w:tr w:rsidR="00C5673A" w:rsidRPr="00271926" w14:paraId="5C897F58"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626F95F" w14:textId="64CB26F4" w:rsidR="00C5673A" w:rsidRPr="00C5673A" w:rsidRDefault="00C5673A" w:rsidP="00C5673A">
            <w:pPr>
              <w:rPr>
                <w:b w:val="0"/>
                <w:bCs w:val="0"/>
              </w:rPr>
            </w:pPr>
            <w:r w:rsidRPr="00C5673A">
              <w:rPr>
                <w:rFonts w:ascii="Open Sans" w:hAnsi="Open Sans" w:cs="Open Sans"/>
                <w:b w:val="0"/>
                <w:bCs w:val="0"/>
                <w:sz w:val="22"/>
                <w:szCs w:val="22"/>
              </w:rPr>
              <w:t>Girona</w:t>
            </w:r>
          </w:p>
        </w:tc>
        <w:tc>
          <w:tcPr>
            <w:tcW w:w="2127" w:type="dxa"/>
            <w:vAlign w:val="bottom"/>
          </w:tcPr>
          <w:p w14:paraId="0039ADAC" w14:textId="4960AD94"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Girona </w:t>
            </w:r>
          </w:p>
        </w:tc>
        <w:tc>
          <w:tcPr>
            <w:tcW w:w="1984" w:type="dxa"/>
            <w:vAlign w:val="bottom"/>
          </w:tcPr>
          <w:p w14:paraId="3FC85223" w14:textId="58A151E5"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3,5 %</w:t>
            </w:r>
          </w:p>
        </w:tc>
        <w:tc>
          <w:tcPr>
            <w:tcW w:w="1727" w:type="dxa"/>
            <w:vAlign w:val="bottom"/>
          </w:tcPr>
          <w:p w14:paraId="0303DA78" w14:textId="1A6FB7ED"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8,8 %</w:t>
            </w:r>
          </w:p>
        </w:tc>
        <w:tc>
          <w:tcPr>
            <w:tcW w:w="1485" w:type="dxa"/>
            <w:vAlign w:val="bottom"/>
          </w:tcPr>
          <w:p w14:paraId="45E0CF9C" w14:textId="03F86230"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2.301 €</w:t>
            </w:r>
          </w:p>
        </w:tc>
      </w:tr>
      <w:tr w:rsidR="00C5673A" w:rsidRPr="00271926" w14:paraId="67350B13"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1E7447D" w14:textId="4C93DEE1" w:rsidR="00C5673A" w:rsidRPr="00C5673A" w:rsidRDefault="00C5673A" w:rsidP="00C5673A">
            <w:pPr>
              <w:rPr>
                <w:b w:val="0"/>
                <w:bCs w:val="0"/>
              </w:rPr>
            </w:pPr>
            <w:r w:rsidRPr="00C5673A">
              <w:rPr>
                <w:rFonts w:ascii="Open Sans" w:hAnsi="Open Sans" w:cs="Open Sans"/>
                <w:b w:val="0"/>
                <w:bCs w:val="0"/>
                <w:sz w:val="22"/>
                <w:szCs w:val="22"/>
              </w:rPr>
              <w:t>Sevilla</w:t>
            </w:r>
          </w:p>
        </w:tc>
        <w:tc>
          <w:tcPr>
            <w:tcW w:w="2127" w:type="dxa"/>
            <w:vAlign w:val="bottom"/>
          </w:tcPr>
          <w:p w14:paraId="403B2A01" w14:textId="1CEFD91D"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Sevilla </w:t>
            </w:r>
          </w:p>
        </w:tc>
        <w:tc>
          <w:tcPr>
            <w:tcW w:w="1984" w:type="dxa"/>
            <w:vAlign w:val="bottom"/>
          </w:tcPr>
          <w:p w14:paraId="38C743DA" w14:textId="6954BB0E"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3,3 %</w:t>
            </w:r>
          </w:p>
        </w:tc>
        <w:tc>
          <w:tcPr>
            <w:tcW w:w="1727" w:type="dxa"/>
            <w:vAlign w:val="bottom"/>
          </w:tcPr>
          <w:p w14:paraId="4F82D3B7" w14:textId="7002FD0A"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6,3 %</w:t>
            </w:r>
          </w:p>
        </w:tc>
        <w:tc>
          <w:tcPr>
            <w:tcW w:w="1485" w:type="dxa"/>
            <w:vAlign w:val="bottom"/>
          </w:tcPr>
          <w:p w14:paraId="6901054B" w14:textId="0297DD90"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2.106 €</w:t>
            </w:r>
          </w:p>
        </w:tc>
      </w:tr>
      <w:tr w:rsidR="00C5673A" w:rsidRPr="00271926" w14:paraId="5ED81A86"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78F6C944" w14:textId="509325F2" w:rsidR="00C5673A" w:rsidRPr="00C5673A" w:rsidRDefault="00C5673A" w:rsidP="00C5673A">
            <w:pPr>
              <w:rPr>
                <w:b w:val="0"/>
                <w:bCs w:val="0"/>
              </w:rPr>
            </w:pPr>
            <w:r w:rsidRPr="00C5673A">
              <w:rPr>
                <w:rFonts w:ascii="Open Sans" w:hAnsi="Open Sans" w:cs="Open Sans"/>
                <w:b w:val="0"/>
                <w:bCs w:val="0"/>
                <w:sz w:val="22"/>
                <w:szCs w:val="22"/>
              </w:rPr>
              <w:t>Cádiz</w:t>
            </w:r>
          </w:p>
        </w:tc>
        <w:tc>
          <w:tcPr>
            <w:tcW w:w="2127" w:type="dxa"/>
            <w:vAlign w:val="bottom"/>
          </w:tcPr>
          <w:p w14:paraId="2E942F17" w14:textId="3868F8EA"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Cádiz </w:t>
            </w:r>
          </w:p>
        </w:tc>
        <w:tc>
          <w:tcPr>
            <w:tcW w:w="1984" w:type="dxa"/>
            <w:vAlign w:val="bottom"/>
          </w:tcPr>
          <w:p w14:paraId="05DF42BA" w14:textId="001C2F1D"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2,5 %</w:t>
            </w:r>
          </w:p>
        </w:tc>
        <w:tc>
          <w:tcPr>
            <w:tcW w:w="1727" w:type="dxa"/>
            <w:vAlign w:val="bottom"/>
          </w:tcPr>
          <w:p w14:paraId="610F83FA" w14:textId="6EE01BFE"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4,8 %</w:t>
            </w:r>
          </w:p>
        </w:tc>
        <w:tc>
          <w:tcPr>
            <w:tcW w:w="1485" w:type="dxa"/>
            <w:vAlign w:val="bottom"/>
          </w:tcPr>
          <w:p w14:paraId="2B4706AE" w14:textId="161E779D"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2.302 €</w:t>
            </w:r>
          </w:p>
        </w:tc>
      </w:tr>
      <w:tr w:rsidR="00C5673A" w:rsidRPr="00271926" w14:paraId="1117FB83"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37E744D" w14:textId="4A500F72" w:rsidR="00C5673A" w:rsidRPr="00C5673A" w:rsidRDefault="00C5673A" w:rsidP="00C5673A">
            <w:pPr>
              <w:rPr>
                <w:b w:val="0"/>
                <w:bCs w:val="0"/>
              </w:rPr>
            </w:pPr>
            <w:r w:rsidRPr="00C5673A">
              <w:rPr>
                <w:rFonts w:ascii="Open Sans" w:hAnsi="Open Sans" w:cs="Open Sans"/>
                <w:b w:val="0"/>
                <w:bCs w:val="0"/>
                <w:sz w:val="22"/>
                <w:szCs w:val="22"/>
              </w:rPr>
              <w:t>Zaragoza</w:t>
            </w:r>
          </w:p>
        </w:tc>
        <w:tc>
          <w:tcPr>
            <w:tcW w:w="2127" w:type="dxa"/>
            <w:vAlign w:val="bottom"/>
          </w:tcPr>
          <w:p w14:paraId="45407DD9" w14:textId="2E21F882"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Zaragoza </w:t>
            </w:r>
          </w:p>
        </w:tc>
        <w:tc>
          <w:tcPr>
            <w:tcW w:w="1984" w:type="dxa"/>
            <w:vAlign w:val="bottom"/>
          </w:tcPr>
          <w:p w14:paraId="5628B96F" w14:textId="35919848"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2,1 %</w:t>
            </w:r>
          </w:p>
        </w:tc>
        <w:tc>
          <w:tcPr>
            <w:tcW w:w="1727" w:type="dxa"/>
            <w:vAlign w:val="bottom"/>
          </w:tcPr>
          <w:p w14:paraId="735EBBBA" w14:textId="6786CE32"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4,7 %</w:t>
            </w:r>
          </w:p>
        </w:tc>
        <w:tc>
          <w:tcPr>
            <w:tcW w:w="1485" w:type="dxa"/>
            <w:vAlign w:val="bottom"/>
          </w:tcPr>
          <w:p w14:paraId="1454B7B3" w14:textId="7E9D3DE3"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1.825 €</w:t>
            </w:r>
          </w:p>
        </w:tc>
      </w:tr>
      <w:tr w:rsidR="00C5673A" w:rsidRPr="00271926" w14:paraId="75ECF17C"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0188DE1" w14:textId="0A3CD65A" w:rsidR="00C5673A" w:rsidRPr="00C5673A" w:rsidRDefault="00C5673A" w:rsidP="00C5673A">
            <w:pPr>
              <w:rPr>
                <w:b w:val="0"/>
                <w:bCs w:val="0"/>
              </w:rPr>
            </w:pPr>
            <w:r w:rsidRPr="00C5673A">
              <w:rPr>
                <w:rFonts w:ascii="Open Sans" w:hAnsi="Open Sans" w:cs="Open Sans"/>
                <w:b w:val="0"/>
                <w:bCs w:val="0"/>
                <w:sz w:val="22"/>
                <w:szCs w:val="22"/>
              </w:rPr>
              <w:t>Huelva</w:t>
            </w:r>
          </w:p>
        </w:tc>
        <w:tc>
          <w:tcPr>
            <w:tcW w:w="2127" w:type="dxa"/>
            <w:vAlign w:val="bottom"/>
          </w:tcPr>
          <w:p w14:paraId="2907E0E8" w14:textId="68476259"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Huelva </w:t>
            </w:r>
          </w:p>
        </w:tc>
        <w:tc>
          <w:tcPr>
            <w:tcW w:w="1984" w:type="dxa"/>
            <w:vAlign w:val="bottom"/>
          </w:tcPr>
          <w:p w14:paraId="2E4BFAE6" w14:textId="7D314BB0"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3,7 %</w:t>
            </w:r>
          </w:p>
        </w:tc>
        <w:tc>
          <w:tcPr>
            <w:tcW w:w="1727" w:type="dxa"/>
            <w:vAlign w:val="bottom"/>
          </w:tcPr>
          <w:p w14:paraId="33E5227F" w14:textId="7503A1C9"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4,2 %</w:t>
            </w:r>
          </w:p>
        </w:tc>
        <w:tc>
          <w:tcPr>
            <w:tcW w:w="1485" w:type="dxa"/>
            <w:vAlign w:val="bottom"/>
          </w:tcPr>
          <w:p w14:paraId="78692CE9" w14:textId="74E41262"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1.240 €</w:t>
            </w:r>
          </w:p>
        </w:tc>
      </w:tr>
      <w:tr w:rsidR="00C5673A" w:rsidRPr="00271926" w14:paraId="1ACF7398"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1DF91238" w14:textId="738D2A42" w:rsidR="00C5673A" w:rsidRPr="00C5673A" w:rsidRDefault="00C5673A" w:rsidP="00C5673A">
            <w:pPr>
              <w:rPr>
                <w:b w:val="0"/>
                <w:bCs w:val="0"/>
              </w:rPr>
            </w:pPr>
            <w:r w:rsidRPr="00C5673A">
              <w:rPr>
                <w:rFonts w:ascii="Open Sans" w:hAnsi="Open Sans" w:cs="Open Sans"/>
                <w:b w:val="0"/>
                <w:bCs w:val="0"/>
                <w:sz w:val="22"/>
                <w:szCs w:val="22"/>
              </w:rPr>
              <w:t>Gipuzkoa</w:t>
            </w:r>
          </w:p>
        </w:tc>
        <w:tc>
          <w:tcPr>
            <w:tcW w:w="2127" w:type="dxa"/>
            <w:vAlign w:val="bottom"/>
          </w:tcPr>
          <w:p w14:paraId="773C9EAB" w14:textId="2C1881F9"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Donostia - San Sebastián </w:t>
            </w:r>
          </w:p>
        </w:tc>
        <w:tc>
          <w:tcPr>
            <w:tcW w:w="1984" w:type="dxa"/>
            <w:vAlign w:val="bottom"/>
          </w:tcPr>
          <w:p w14:paraId="6BA00C64" w14:textId="0C832EDF"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2,2 %</w:t>
            </w:r>
          </w:p>
        </w:tc>
        <w:tc>
          <w:tcPr>
            <w:tcW w:w="1727" w:type="dxa"/>
            <w:vAlign w:val="bottom"/>
          </w:tcPr>
          <w:p w14:paraId="76084559" w14:textId="4F134A8F"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4,0 %</w:t>
            </w:r>
          </w:p>
        </w:tc>
        <w:tc>
          <w:tcPr>
            <w:tcW w:w="1485" w:type="dxa"/>
            <w:vAlign w:val="bottom"/>
          </w:tcPr>
          <w:p w14:paraId="36594C43" w14:textId="273CDDD3"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5.074 €</w:t>
            </w:r>
          </w:p>
        </w:tc>
      </w:tr>
      <w:tr w:rsidR="00C5673A" w:rsidRPr="00271926" w14:paraId="5C83D2CA"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3924C1D" w14:textId="1EE991E9" w:rsidR="00C5673A" w:rsidRPr="00C5673A" w:rsidRDefault="00C5673A" w:rsidP="00C5673A">
            <w:pPr>
              <w:rPr>
                <w:b w:val="0"/>
                <w:bCs w:val="0"/>
              </w:rPr>
            </w:pPr>
            <w:r w:rsidRPr="00C5673A">
              <w:rPr>
                <w:rFonts w:ascii="Open Sans" w:hAnsi="Open Sans" w:cs="Open Sans"/>
                <w:b w:val="0"/>
                <w:bCs w:val="0"/>
                <w:sz w:val="22"/>
                <w:szCs w:val="22"/>
              </w:rPr>
              <w:t>Toledo</w:t>
            </w:r>
          </w:p>
        </w:tc>
        <w:tc>
          <w:tcPr>
            <w:tcW w:w="2127" w:type="dxa"/>
            <w:vAlign w:val="bottom"/>
          </w:tcPr>
          <w:p w14:paraId="3E7EA95C" w14:textId="1594E958"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Toledo </w:t>
            </w:r>
          </w:p>
        </w:tc>
        <w:tc>
          <w:tcPr>
            <w:tcW w:w="1984" w:type="dxa"/>
            <w:vAlign w:val="bottom"/>
          </w:tcPr>
          <w:p w14:paraId="1C340A70" w14:textId="17CD5219"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9C0006"/>
                <w:sz w:val="22"/>
                <w:szCs w:val="22"/>
              </w:rPr>
              <w:t>-0,1 %</w:t>
            </w:r>
          </w:p>
        </w:tc>
        <w:tc>
          <w:tcPr>
            <w:tcW w:w="1727" w:type="dxa"/>
            <w:vAlign w:val="bottom"/>
          </w:tcPr>
          <w:p w14:paraId="13812044" w14:textId="58E5FC28"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3,6 %</w:t>
            </w:r>
          </w:p>
        </w:tc>
        <w:tc>
          <w:tcPr>
            <w:tcW w:w="1485" w:type="dxa"/>
            <w:vAlign w:val="bottom"/>
          </w:tcPr>
          <w:p w14:paraId="5BBF7F4F" w14:textId="3377628D"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1.482 €</w:t>
            </w:r>
          </w:p>
        </w:tc>
      </w:tr>
      <w:tr w:rsidR="00C5673A" w:rsidRPr="00271926" w14:paraId="60754F2D"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83A6819" w14:textId="7338BF4C" w:rsidR="00C5673A" w:rsidRPr="00C5673A" w:rsidRDefault="00C5673A" w:rsidP="00C5673A">
            <w:pPr>
              <w:rPr>
                <w:b w:val="0"/>
                <w:bCs w:val="0"/>
              </w:rPr>
            </w:pPr>
            <w:r w:rsidRPr="00C5673A">
              <w:rPr>
                <w:rFonts w:ascii="Open Sans" w:hAnsi="Open Sans" w:cs="Open Sans"/>
                <w:b w:val="0"/>
                <w:bCs w:val="0"/>
                <w:sz w:val="22"/>
                <w:szCs w:val="22"/>
              </w:rPr>
              <w:t>La Rioja</w:t>
            </w:r>
          </w:p>
        </w:tc>
        <w:tc>
          <w:tcPr>
            <w:tcW w:w="2127" w:type="dxa"/>
            <w:vAlign w:val="bottom"/>
          </w:tcPr>
          <w:p w14:paraId="03B86353" w14:textId="3CB88DC3"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Logroño</w:t>
            </w:r>
          </w:p>
        </w:tc>
        <w:tc>
          <w:tcPr>
            <w:tcW w:w="1984" w:type="dxa"/>
            <w:vAlign w:val="bottom"/>
          </w:tcPr>
          <w:p w14:paraId="53C70B44" w14:textId="5BE11CCF"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2,6 %</w:t>
            </w:r>
          </w:p>
        </w:tc>
        <w:tc>
          <w:tcPr>
            <w:tcW w:w="1727" w:type="dxa"/>
            <w:vAlign w:val="bottom"/>
          </w:tcPr>
          <w:p w14:paraId="16081EAD" w14:textId="362FF40E"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3,5 %</w:t>
            </w:r>
          </w:p>
        </w:tc>
        <w:tc>
          <w:tcPr>
            <w:tcW w:w="1485" w:type="dxa"/>
            <w:vAlign w:val="bottom"/>
          </w:tcPr>
          <w:p w14:paraId="508D86B3" w14:textId="2BE796AD"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1.665 €</w:t>
            </w:r>
          </w:p>
        </w:tc>
      </w:tr>
      <w:tr w:rsidR="00C5673A" w:rsidRPr="00271926" w14:paraId="0DCE2FD5"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0F6B5C80" w14:textId="7061CA3A" w:rsidR="00C5673A" w:rsidRPr="00C5673A" w:rsidRDefault="00C5673A" w:rsidP="00C5673A">
            <w:pPr>
              <w:rPr>
                <w:b w:val="0"/>
                <w:bCs w:val="0"/>
              </w:rPr>
            </w:pPr>
            <w:r w:rsidRPr="00C5673A">
              <w:rPr>
                <w:rFonts w:ascii="Open Sans" w:hAnsi="Open Sans" w:cs="Open Sans"/>
                <w:b w:val="0"/>
                <w:bCs w:val="0"/>
                <w:sz w:val="22"/>
                <w:szCs w:val="22"/>
              </w:rPr>
              <w:t>Madrid</w:t>
            </w:r>
          </w:p>
        </w:tc>
        <w:tc>
          <w:tcPr>
            <w:tcW w:w="2127" w:type="dxa"/>
            <w:vAlign w:val="bottom"/>
          </w:tcPr>
          <w:p w14:paraId="24C8443D" w14:textId="0CC895DC"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Madrid </w:t>
            </w:r>
          </w:p>
        </w:tc>
        <w:tc>
          <w:tcPr>
            <w:tcW w:w="1984" w:type="dxa"/>
            <w:vAlign w:val="bottom"/>
          </w:tcPr>
          <w:p w14:paraId="31EE924E" w14:textId="26ED2CEB"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1,0 %</w:t>
            </w:r>
          </w:p>
        </w:tc>
        <w:tc>
          <w:tcPr>
            <w:tcW w:w="1727" w:type="dxa"/>
            <w:vAlign w:val="bottom"/>
          </w:tcPr>
          <w:p w14:paraId="286F9261" w14:textId="17B6F0FA"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3,5 %</w:t>
            </w:r>
          </w:p>
        </w:tc>
        <w:tc>
          <w:tcPr>
            <w:tcW w:w="1485" w:type="dxa"/>
            <w:vAlign w:val="bottom"/>
          </w:tcPr>
          <w:p w14:paraId="5B4F571F" w14:textId="133D07C1"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3.850 €</w:t>
            </w:r>
          </w:p>
        </w:tc>
      </w:tr>
      <w:tr w:rsidR="00C5673A" w:rsidRPr="00271926" w14:paraId="2F2C6194"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3A0DC39D" w14:textId="4C84B47E" w:rsidR="00C5673A" w:rsidRPr="00C5673A" w:rsidRDefault="00C5673A" w:rsidP="00C5673A">
            <w:pPr>
              <w:rPr>
                <w:b w:val="0"/>
                <w:bCs w:val="0"/>
              </w:rPr>
            </w:pPr>
            <w:r w:rsidRPr="00C5673A">
              <w:rPr>
                <w:rFonts w:ascii="Open Sans" w:hAnsi="Open Sans" w:cs="Open Sans"/>
                <w:b w:val="0"/>
                <w:bCs w:val="0"/>
                <w:sz w:val="22"/>
                <w:szCs w:val="22"/>
              </w:rPr>
              <w:t>Illes Balears</w:t>
            </w:r>
          </w:p>
        </w:tc>
        <w:tc>
          <w:tcPr>
            <w:tcW w:w="2127" w:type="dxa"/>
            <w:vAlign w:val="bottom"/>
          </w:tcPr>
          <w:p w14:paraId="3D163195" w14:textId="187FFBDD"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Palma de Mallorca</w:t>
            </w:r>
          </w:p>
        </w:tc>
        <w:tc>
          <w:tcPr>
            <w:tcW w:w="1984" w:type="dxa"/>
            <w:vAlign w:val="bottom"/>
          </w:tcPr>
          <w:p w14:paraId="1778E8EA" w14:textId="30CC7454"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2,6 %</w:t>
            </w:r>
          </w:p>
        </w:tc>
        <w:tc>
          <w:tcPr>
            <w:tcW w:w="1727" w:type="dxa"/>
            <w:vAlign w:val="bottom"/>
          </w:tcPr>
          <w:p w14:paraId="148C0CF0" w14:textId="0634CEFA"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3,1 %</w:t>
            </w:r>
          </w:p>
        </w:tc>
        <w:tc>
          <w:tcPr>
            <w:tcW w:w="1485" w:type="dxa"/>
            <w:vAlign w:val="bottom"/>
          </w:tcPr>
          <w:p w14:paraId="5BD901F1" w14:textId="0AF71D41"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2.865 €</w:t>
            </w:r>
          </w:p>
        </w:tc>
      </w:tr>
      <w:tr w:rsidR="00C5673A" w:rsidRPr="00271926" w14:paraId="71F0A131"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4A83B3D" w14:textId="05DB8C31" w:rsidR="00C5673A" w:rsidRPr="00C5673A" w:rsidRDefault="00C5673A" w:rsidP="00C5673A">
            <w:pPr>
              <w:rPr>
                <w:b w:val="0"/>
                <w:bCs w:val="0"/>
              </w:rPr>
            </w:pPr>
            <w:r w:rsidRPr="00C5673A">
              <w:rPr>
                <w:rFonts w:ascii="Open Sans" w:hAnsi="Open Sans" w:cs="Open Sans"/>
                <w:b w:val="0"/>
                <w:bCs w:val="0"/>
                <w:sz w:val="22"/>
                <w:szCs w:val="22"/>
              </w:rPr>
              <w:t>Alicante</w:t>
            </w:r>
          </w:p>
        </w:tc>
        <w:tc>
          <w:tcPr>
            <w:tcW w:w="2127" w:type="dxa"/>
            <w:vAlign w:val="bottom"/>
          </w:tcPr>
          <w:p w14:paraId="54F57025" w14:textId="46E7BBC5"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Alicante / Alacant</w:t>
            </w:r>
          </w:p>
        </w:tc>
        <w:tc>
          <w:tcPr>
            <w:tcW w:w="1984" w:type="dxa"/>
            <w:vAlign w:val="bottom"/>
          </w:tcPr>
          <w:p w14:paraId="66DC253D" w14:textId="7EC55680"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3,0 %</w:t>
            </w:r>
          </w:p>
        </w:tc>
        <w:tc>
          <w:tcPr>
            <w:tcW w:w="1727" w:type="dxa"/>
            <w:vAlign w:val="bottom"/>
          </w:tcPr>
          <w:p w14:paraId="268D8149" w14:textId="1CC82D6C"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2,9 %</w:t>
            </w:r>
          </w:p>
        </w:tc>
        <w:tc>
          <w:tcPr>
            <w:tcW w:w="1485" w:type="dxa"/>
            <w:vAlign w:val="bottom"/>
          </w:tcPr>
          <w:p w14:paraId="1DA5851E" w14:textId="746C6D0B"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1.621 €</w:t>
            </w:r>
          </w:p>
        </w:tc>
      </w:tr>
      <w:tr w:rsidR="00C5673A" w:rsidRPr="00271926" w14:paraId="52309A18"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3764D813" w14:textId="0F4E1A00" w:rsidR="00C5673A" w:rsidRPr="00C5673A" w:rsidRDefault="00C5673A" w:rsidP="00C5673A">
            <w:pPr>
              <w:rPr>
                <w:b w:val="0"/>
                <w:bCs w:val="0"/>
              </w:rPr>
            </w:pPr>
            <w:r w:rsidRPr="00C5673A">
              <w:rPr>
                <w:rFonts w:ascii="Open Sans" w:hAnsi="Open Sans" w:cs="Open Sans"/>
                <w:b w:val="0"/>
                <w:bCs w:val="0"/>
                <w:sz w:val="22"/>
                <w:szCs w:val="22"/>
              </w:rPr>
              <w:t>Málaga</w:t>
            </w:r>
          </w:p>
        </w:tc>
        <w:tc>
          <w:tcPr>
            <w:tcW w:w="2127" w:type="dxa"/>
            <w:vAlign w:val="bottom"/>
          </w:tcPr>
          <w:p w14:paraId="32C233BC" w14:textId="0629D7F1"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Málaga </w:t>
            </w:r>
          </w:p>
        </w:tc>
        <w:tc>
          <w:tcPr>
            <w:tcW w:w="1984" w:type="dxa"/>
            <w:vAlign w:val="bottom"/>
          </w:tcPr>
          <w:p w14:paraId="5F477D2D" w14:textId="336888DC"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0,6 %</w:t>
            </w:r>
          </w:p>
        </w:tc>
        <w:tc>
          <w:tcPr>
            <w:tcW w:w="1727" w:type="dxa"/>
            <w:vAlign w:val="bottom"/>
          </w:tcPr>
          <w:p w14:paraId="549A04EF" w14:textId="47A092E9"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2,8 %</w:t>
            </w:r>
          </w:p>
        </w:tc>
        <w:tc>
          <w:tcPr>
            <w:tcW w:w="1485" w:type="dxa"/>
            <w:vAlign w:val="bottom"/>
          </w:tcPr>
          <w:p w14:paraId="33BC19A5" w14:textId="65465208"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2.247 €</w:t>
            </w:r>
          </w:p>
        </w:tc>
      </w:tr>
      <w:tr w:rsidR="00C5673A" w:rsidRPr="00271926" w14:paraId="0FBDC574"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D946BAD" w14:textId="685EE21F" w:rsidR="00C5673A" w:rsidRPr="00C5673A" w:rsidRDefault="00C5673A" w:rsidP="00C5673A">
            <w:pPr>
              <w:rPr>
                <w:b w:val="0"/>
                <w:bCs w:val="0"/>
              </w:rPr>
            </w:pPr>
            <w:r w:rsidRPr="00C5673A">
              <w:rPr>
                <w:rFonts w:ascii="Open Sans" w:hAnsi="Open Sans" w:cs="Open Sans"/>
                <w:b w:val="0"/>
                <w:bCs w:val="0"/>
                <w:sz w:val="22"/>
                <w:szCs w:val="22"/>
              </w:rPr>
              <w:t>Huesca</w:t>
            </w:r>
          </w:p>
        </w:tc>
        <w:tc>
          <w:tcPr>
            <w:tcW w:w="2127" w:type="dxa"/>
            <w:vAlign w:val="bottom"/>
          </w:tcPr>
          <w:p w14:paraId="31F3A756" w14:textId="0E4DE2D0"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Huesca </w:t>
            </w:r>
          </w:p>
        </w:tc>
        <w:tc>
          <w:tcPr>
            <w:tcW w:w="1984" w:type="dxa"/>
            <w:vAlign w:val="bottom"/>
          </w:tcPr>
          <w:p w14:paraId="6B675FC3" w14:textId="4A03B5FE"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9C0006"/>
                <w:sz w:val="22"/>
                <w:szCs w:val="22"/>
              </w:rPr>
              <w:t>-0,6 %</w:t>
            </w:r>
          </w:p>
        </w:tc>
        <w:tc>
          <w:tcPr>
            <w:tcW w:w="1727" w:type="dxa"/>
            <w:vAlign w:val="bottom"/>
          </w:tcPr>
          <w:p w14:paraId="77D1ADA7" w14:textId="722C2E4E"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2,7 %</w:t>
            </w:r>
          </w:p>
        </w:tc>
        <w:tc>
          <w:tcPr>
            <w:tcW w:w="1485" w:type="dxa"/>
            <w:vAlign w:val="bottom"/>
          </w:tcPr>
          <w:p w14:paraId="41FFDC93" w14:textId="22B224B7"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1.474 €</w:t>
            </w:r>
          </w:p>
        </w:tc>
      </w:tr>
      <w:tr w:rsidR="00C5673A" w:rsidRPr="00271926" w14:paraId="7832B370"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7E4CA2A4" w14:textId="2C9E470F" w:rsidR="00C5673A" w:rsidRPr="00C5673A" w:rsidRDefault="00C5673A" w:rsidP="00C5673A">
            <w:pPr>
              <w:rPr>
                <w:b w:val="0"/>
                <w:bCs w:val="0"/>
              </w:rPr>
            </w:pPr>
            <w:r w:rsidRPr="00C5673A">
              <w:rPr>
                <w:rFonts w:ascii="Open Sans" w:hAnsi="Open Sans" w:cs="Open Sans"/>
                <w:b w:val="0"/>
                <w:bCs w:val="0"/>
                <w:sz w:val="22"/>
                <w:szCs w:val="22"/>
              </w:rPr>
              <w:t>Cantabria</w:t>
            </w:r>
          </w:p>
        </w:tc>
        <w:tc>
          <w:tcPr>
            <w:tcW w:w="2127" w:type="dxa"/>
            <w:vAlign w:val="bottom"/>
          </w:tcPr>
          <w:p w14:paraId="5D0873EC" w14:textId="5F4E2317"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Santander</w:t>
            </w:r>
          </w:p>
        </w:tc>
        <w:tc>
          <w:tcPr>
            <w:tcW w:w="1984" w:type="dxa"/>
            <w:vAlign w:val="bottom"/>
          </w:tcPr>
          <w:p w14:paraId="285418CD" w14:textId="2FD4656B"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1,0 %</w:t>
            </w:r>
          </w:p>
        </w:tc>
        <w:tc>
          <w:tcPr>
            <w:tcW w:w="1727" w:type="dxa"/>
            <w:vAlign w:val="bottom"/>
          </w:tcPr>
          <w:p w14:paraId="3D4831D0" w14:textId="73EB7148"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2,7 %</w:t>
            </w:r>
          </w:p>
        </w:tc>
        <w:tc>
          <w:tcPr>
            <w:tcW w:w="1485" w:type="dxa"/>
            <w:vAlign w:val="bottom"/>
          </w:tcPr>
          <w:p w14:paraId="15ABBB07" w14:textId="0E15B58E"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2.101 €</w:t>
            </w:r>
          </w:p>
        </w:tc>
      </w:tr>
      <w:tr w:rsidR="00C5673A" w:rsidRPr="00271926" w14:paraId="64FC505D"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C1ABCDC" w14:textId="06D2D564" w:rsidR="00C5673A" w:rsidRPr="00C5673A" w:rsidRDefault="00C5673A" w:rsidP="00C5673A">
            <w:pPr>
              <w:rPr>
                <w:b w:val="0"/>
                <w:bCs w:val="0"/>
              </w:rPr>
            </w:pPr>
            <w:r w:rsidRPr="00C5673A">
              <w:rPr>
                <w:rFonts w:ascii="Open Sans" w:hAnsi="Open Sans" w:cs="Open Sans"/>
                <w:b w:val="0"/>
                <w:bCs w:val="0"/>
                <w:sz w:val="22"/>
                <w:szCs w:val="22"/>
              </w:rPr>
              <w:t>Burgos</w:t>
            </w:r>
          </w:p>
        </w:tc>
        <w:tc>
          <w:tcPr>
            <w:tcW w:w="2127" w:type="dxa"/>
            <w:vAlign w:val="bottom"/>
          </w:tcPr>
          <w:p w14:paraId="38CC106D" w14:textId="5D030A1F"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Burgos </w:t>
            </w:r>
          </w:p>
        </w:tc>
        <w:tc>
          <w:tcPr>
            <w:tcW w:w="1984" w:type="dxa"/>
            <w:vAlign w:val="bottom"/>
          </w:tcPr>
          <w:p w14:paraId="079EEA89" w14:textId="1C46983D"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2,6 %</w:t>
            </w:r>
          </w:p>
        </w:tc>
        <w:tc>
          <w:tcPr>
            <w:tcW w:w="1727" w:type="dxa"/>
            <w:vAlign w:val="bottom"/>
          </w:tcPr>
          <w:p w14:paraId="76984170" w14:textId="6DB16333"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2,6 %</w:t>
            </w:r>
          </w:p>
        </w:tc>
        <w:tc>
          <w:tcPr>
            <w:tcW w:w="1485" w:type="dxa"/>
            <w:vAlign w:val="bottom"/>
          </w:tcPr>
          <w:p w14:paraId="4A136451" w14:textId="23FEF059"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1.825 €</w:t>
            </w:r>
          </w:p>
        </w:tc>
      </w:tr>
      <w:tr w:rsidR="00C5673A" w:rsidRPr="00271926" w14:paraId="2DDC15FB"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3EA3F0ED" w14:textId="7BC55A1C" w:rsidR="00C5673A" w:rsidRPr="00C5673A" w:rsidRDefault="00C5673A" w:rsidP="00C5673A">
            <w:pPr>
              <w:rPr>
                <w:b w:val="0"/>
                <w:bCs w:val="0"/>
              </w:rPr>
            </w:pPr>
            <w:r w:rsidRPr="00C5673A">
              <w:rPr>
                <w:rFonts w:ascii="Open Sans" w:hAnsi="Open Sans" w:cs="Open Sans"/>
                <w:b w:val="0"/>
                <w:bCs w:val="0"/>
                <w:sz w:val="22"/>
                <w:szCs w:val="22"/>
              </w:rPr>
              <w:t>Albacete</w:t>
            </w:r>
          </w:p>
        </w:tc>
        <w:tc>
          <w:tcPr>
            <w:tcW w:w="2127" w:type="dxa"/>
            <w:vAlign w:val="bottom"/>
          </w:tcPr>
          <w:p w14:paraId="325E9894" w14:textId="58A828D1"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 Albacete </w:t>
            </w:r>
          </w:p>
        </w:tc>
        <w:tc>
          <w:tcPr>
            <w:tcW w:w="1984" w:type="dxa"/>
            <w:vAlign w:val="bottom"/>
          </w:tcPr>
          <w:p w14:paraId="72102F7E" w14:textId="70D1FB21"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1,5 %</w:t>
            </w:r>
          </w:p>
        </w:tc>
        <w:tc>
          <w:tcPr>
            <w:tcW w:w="1727" w:type="dxa"/>
            <w:vAlign w:val="bottom"/>
          </w:tcPr>
          <w:p w14:paraId="71FAEAC8" w14:textId="79E0500F"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2,6 %</w:t>
            </w:r>
          </w:p>
        </w:tc>
        <w:tc>
          <w:tcPr>
            <w:tcW w:w="1485" w:type="dxa"/>
            <w:vAlign w:val="bottom"/>
          </w:tcPr>
          <w:p w14:paraId="420DFE28" w14:textId="5BDB85A9"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1.433 €</w:t>
            </w:r>
          </w:p>
        </w:tc>
      </w:tr>
      <w:tr w:rsidR="00C5673A" w:rsidRPr="00271926" w14:paraId="24926E6E"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F4402AA" w14:textId="06A7778E" w:rsidR="00C5673A" w:rsidRPr="00C5673A" w:rsidRDefault="00C5673A" w:rsidP="00C5673A">
            <w:pPr>
              <w:rPr>
                <w:b w:val="0"/>
                <w:bCs w:val="0"/>
              </w:rPr>
            </w:pPr>
            <w:r w:rsidRPr="00C5673A">
              <w:rPr>
                <w:rFonts w:ascii="Open Sans" w:hAnsi="Open Sans" w:cs="Open Sans"/>
                <w:b w:val="0"/>
                <w:bCs w:val="0"/>
                <w:sz w:val="22"/>
                <w:szCs w:val="22"/>
              </w:rPr>
              <w:t>A Coruña</w:t>
            </w:r>
          </w:p>
        </w:tc>
        <w:tc>
          <w:tcPr>
            <w:tcW w:w="2127" w:type="dxa"/>
            <w:vAlign w:val="bottom"/>
          </w:tcPr>
          <w:p w14:paraId="1F2734B6" w14:textId="4632C6CC"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A Coruña  </w:t>
            </w:r>
          </w:p>
        </w:tc>
        <w:tc>
          <w:tcPr>
            <w:tcW w:w="1984" w:type="dxa"/>
            <w:vAlign w:val="bottom"/>
          </w:tcPr>
          <w:p w14:paraId="3E1DF4D2" w14:textId="30551EB0"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9C0006"/>
                <w:sz w:val="22"/>
                <w:szCs w:val="22"/>
              </w:rPr>
              <w:t>-0,2 %</w:t>
            </w:r>
          </w:p>
        </w:tc>
        <w:tc>
          <w:tcPr>
            <w:tcW w:w="1727" w:type="dxa"/>
            <w:vAlign w:val="bottom"/>
          </w:tcPr>
          <w:p w14:paraId="1E45F9CD" w14:textId="753A19B7"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2,6 %</w:t>
            </w:r>
          </w:p>
        </w:tc>
        <w:tc>
          <w:tcPr>
            <w:tcW w:w="1485" w:type="dxa"/>
            <w:vAlign w:val="bottom"/>
          </w:tcPr>
          <w:p w14:paraId="7D8CFB52" w14:textId="12F71E61"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2.247 €</w:t>
            </w:r>
          </w:p>
        </w:tc>
      </w:tr>
      <w:tr w:rsidR="00C5673A" w:rsidRPr="00271926" w14:paraId="4AC3E916"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0A32C55" w14:textId="26F27622" w:rsidR="00C5673A" w:rsidRPr="00C5673A" w:rsidRDefault="00C5673A" w:rsidP="00C5673A">
            <w:pPr>
              <w:rPr>
                <w:b w:val="0"/>
                <w:bCs w:val="0"/>
              </w:rPr>
            </w:pPr>
            <w:r w:rsidRPr="00C5673A">
              <w:rPr>
                <w:rFonts w:ascii="Open Sans" w:hAnsi="Open Sans" w:cs="Open Sans"/>
                <w:b w:val="0"/>
                <w:bCs w:val="0"/>
                <w:sz w:val="22"/>
                <w:szCs w:val="22"/>
              </w:rPr>
              <w:t>Guadalajara</w:t>
            </w:r>
          </w:p>
        </w:tc>
        <w:tc>
          <w:tcPr>
            <w:tcW w:w="2127" w:type="dxa"/>
            <w:vAlign w:val="bottom"/>
          </w:tcPr>
          <w:p w14:paraId="2EE87F76" w14:textId="25015707"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Guadalajara </w:t>
            </w:r>
          </w:p>
        </w:tc>
        <w:tc>
          <w:tcPr>
            <w:tcW w:w="1984" w:type="dxa"/>
            <w:vAlign w:val="bottom"/>
          </w:tcPr>
          <w:p w14:paraId="286EAFC1" w14:textId="0C6FE517"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2,4 %</w:t>
            </w:r>
          </w:p>
        </w:tc>
        <w:tc>
          <w:tcPr>
            <w:tcW w:w="1727" w:type="dxa"/>
            <w:vAlign w:val="bottom"/>
          </w:tcPr>
          <w:p w14:paraId="39594971" w14:textId="10209ECE"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2,5 %</w:t>
            </w:r>
          </w:p>
        </w:tc>
        <w:tc>
          <w:tcPr>
            <w:tcW w:w="1485" w:type="dxa"/>
            <w:vAlign w:val="bottom"/>
          </w:tcPr>
          <w:p w14:paraId="31635516" w14:textId="376F0927"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1.552 €</w:t>
            </w:r>
          </w:p>
        </w:tc>
      </w:tr>
      <w:tr w:rsidR="00C5673A" w:rsidRPr="00271926" w14:paraId="29BA71E3"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8D1BE64" w14:textId="374738E6" w:rsidR="00C5673A" w:rsidRPr="00C5673A" w:rsidRDefault="00C5673A" w:rsidP="00C5673A">
            <w:pPr>
              <w:rPr>
                <w:b w:val="0"/>
                <w:bCs w:val="0"/>
              </w:rPr>
            </w:pPr>
            <w:r w:rsidRPr="00C5673A">
              <w:rPr>
                <w:rFonts w:ascii="Open Sans" w:hAnsi="Open Sans" w:cs="Open Sans"/>
                <w:b w:val="0"/>
                <w:bCs w:val="0"/>
                <w:sz w:val="22"/>
                <w:szCs w:val="22"/>
              </w:rPr>
              <w:t>Segovia</w:t>
            </w:r>
          </w:p>
        </w:tc>
        <w:tc>
          <w:tcPr>
            <w:tcW w:w="2127" w:type="dxa"/>
            <w:vAlign w:val="bottom"/>
          </w:tcPr>
          <w:p w14:paraId="0181F486" w14:textId="3F7475FE"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Segovia </w:t>
            </w:r>
          </w:p>
        </w:tc>
        <w:tc>
          <w:tcPr>
            <w:tcW w:w="1984" w:type="dxa"/>
            <w:vAlign w:val="bottom"/>
          </w:tcPr>
          <w:p w14:paraId="718E6542" w14:textId="12733FE2"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0,8 %</w:t>
            </w:r>
          </w:p>
        </w:tc>
        <w:tc>
          <w:tcPr>
            <w:tcW w:w="1727" w:type="dxa"/>
            <w:vAlign w:val="bottom"/>
          </w:tcPr>
          <w:p w14:paraId="7ECF9819" w14:textId="79452FE8"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2,4 %</w:t>
            </w:r>
          </w:p>
        </w:tc>
        <w:tc>
          <w:tcPr>
            <w:tcW w:w="1485" w:type="dxa"/>
            <w:vAlign w:val="bottom"/>
          </w:tcPr>
          <w:p w14:paraId="7D0AFDE0" w14:textId="6B5F38B1"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1.617 €</w:t>
            </w:r>
          </w:p>
        </w:tc>
      </w:tr>
      <w:tr w:rsidR="00C5673A" w:rsidRPr="00271926" w14:paraId="6B1D1217"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70AFE083" w14:textId="451C7349" w:rsidR="00C5673A" w:rsidRPr="00C5673A" w:rsidRDefault="00C5673A" w:rsidP="00C5673A">
            <w:pPr>
              <w:rPr>
                <w:b w:val="0"/>
                <w:bCs w:val="0"/>
              </w:rPr>
            </w:pPr>
            <w:r w:rsidRPr="00C5673A">
              <w:rPr>
                <w:rFonts w:ascii="Open Sans" w:hAnsi="Open Sans" w:cs="Open Sans"/>
                <w:b w:val="0"/>
                <w:bCs w:val="0"/>
                <w:sz w:val="22"/>
                <w:szCs w:val="22"/>
              </w:rPr>
              <w:t>León</w:t>
            </w:r>
          </w:p>
        </w:tc>
        <w:tc>
          <w:tcPr>
            <w:tcW w:w="2127" w:type="dxa"/>
            <w:vAlign w:val="bottom"/>
          </w:tcPr>
          <w:p w14:paraId="2644F3A2" w14:textId="71DF71EE"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 xml:space="preserve">León  </w:t>
            </w:r>
          </w:p>
        </w:tc>
        <w:tc>
          <w:tcPr>
            <w:tcW w:w="1984" w:type="dxa"/>
            <w:vAlign w:val="bottom"/>
          </w:tcPr>
          <w:p w14:paraId="3E435303" w14:textId="6D40711B"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1,8 %</w:t>
            </w:r>
          </w:p>
        </w:tc>
        <w:tc>
          <w:tcPr>
            <w:tcW w:w="1727" w:type="dxa"/>
            <w:vAlign w:val="bottom"/>
          </w:tcPr>
          <w:p w14:paraId="37D466AB" w14:textId="20BEE8D7"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2,3 %</w:t>
            </w:r>
          </w:p>
        </w:tc>
        <w:tc>
          <w:tcPr>
            <w:tcW w:w="1485" w:type="dxa"/>
            <w:vAlign w:val="bottom"/>
          </w:tcPr>
          <w:p w14:paraId="6A737A05" w14:textId="3863CDA5"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1.477 €</w:t>
            </w:r>
          </w:p>
        </w:tc>
      </w:tr>
      <w:tr w:rsidR="00C5673A" w:rsidRPr="00271926" w14:paraId="1A9C7243"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54BFB5C" w14:textId="0B9F2C1B" w:rsidR="00C5673A" w:rsidRPr="00C5673A" w:rsidRDefault="00C5673A" w:rsidP="00C5673A">
            <w:pPr>
              <w:rPr>
                <w:b w:val="0"/>
                <w:bCs w:val="0"/>
              </w:rPr>
            </w:pPr>
            <w:r w:rsidRPr="00C5673A">
              <w:rPr>
                <w:rFonts w:ascii="Open Sans" w:hAnsi="Open Sans" w:cs="Open Sans"/>
                <w:b w:val="0"/>
                <w:bCs w:val="0"/>
                <w:sz w:val="22"/>
                <w:szCs w:val="22"/>
              </w:rPr>
              <w:t>Granada</w:t>
            </w:r>
          </w:p>
        </w:tc>
        <w:tc>
          <w:tcPr>
            <w:tcW w:w="2127" w:type="dxa"/>
            <w:vAlign w:val="bottom"/>
          </w:tcPr>
          <w:p w14:paraId="5EF6CDC3" w14:textId="24229D71"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 Granada </w:t>
            </w:r>
          </w:p>
        </w:tc>
        <w:tc>
          <w:tcPr>
            <w:tcW w:w="1984" w:type="dxa"/>
            <w:vAlign w:val="bottom"/>
          </w:tcPr>
          <w:p w14:paraId="3D40ADC6" w14:textId="68232307"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1,6 %</w:t>
            </w:r>
          </w:p>
        </w:tc>
        <w:tc>
          <w:tcPr>
            <w:tcW w:w="1727" w:type="dxa"/>
            <w:vAlign w:val="bottom"/>
          </w:tcPr>
          <w:p w14:paraId="75574909" w14:textId="5265D701"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2,2 %</w:t>
            </w:r>
          </w:p>
        </w:tc>
        <w:tc>
          <w:tcPr>
            <w:tcW w:w="1485" w:type="dxa"/>
            <w:vAlign w:val="bottom"/>
          </w:tcPr>
          <w:p w14:paraId="3099E2BE" w14:textId="73834463"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1.942 €</w:t>
            </w:r>
          </w:p>
        </w:tc>
      </w:tr>
      <w:tr w:rsidR="00C5673A" w:rsidRPr="00271926" w14:paraId="29809527"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7ED822A4" w14:textId="65D41BFB" w:rsidR="00C5673A" w:rsidRPr="00C5673A" w:rsidRDefault="00C5673A" w:rsidP="00C5673A">
            <w:pPr>
              <w:rPr>
                <w:b w:val="0"/>
                <w:bCs w:val="0"/>
              </w:rPr>
            </w:pPr>
            <w:r w:rsidRPr="00C5673A">
              <w:rPr>
                <w:rFonts w:ascii="Open Sans" w:hAnsi="Open Sans" w:cs="Open Sans"/>
                <w:b w:val="0"/>
                <w:bCs w:val="0"/>
                <w:sz w:val="22"/>
                <w:szCs w:val="22"/>
              </w:rPr>
              <w:t>Araba - Álava</w:t>
            </w:r>
          </w:p>
        </w:tc>
        <w:tc>
          <w:tcPr>
            <w:tcW w:w="2127" w:type="dxa"/>
            <w:vAlign w:val="bottom"/>
          </w:tcPr>
          <w:p w14:paraId="44B5F785" w14:textId="5A80887F"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Vitoria - Gasteiz</w:t>
            </w:r>
          </w:p>
        </w:tc>
        <w:tc>
          <w:tcPr>
            <w:tcW w:w="1984" w:type="dxa"/>
            <w:vAlign w:val="bottom"/>
          </w:tcPr>
          <w:p w14:paraId="13E59298" w14:textId="27648CBA"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1,8 %</w:t>
            </w:r>
          </w:p>
        </w:tc>
        <w:tc>
          <w:tcPr>
            <w:tcW w:w="1727" w:type="dxa"/>
            <w:vAlign w:val="bottom"/>
          </w:tcPr>
          <w:p w14:paraId="69358C8F" w14:textId="216991CB"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2,2 %</w:t>
            </w:r>
          </w:p>
        </w:tc>
        <w:tc>
          <w:tcPr>
            <w:tcW w:w="1485" w:type="dxa"/>
            <w:vAlign w:val="bottom"/>
          </w:tcPr>
          <w:p w14:paraId="465E44C2" w14:textId="69A36E8C"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2.387 €</w:t>
            </w:r>
          </w:p>
        </w:tc>
      </w:tr>
      <w:tr w:rsidR="00C5673A" w:rsidRPr="00271926" w14:paraId="6EA5A924"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4E6C85E" w14:textId="2CAD0D06" w:rsidR="00C5673A" w:rsidRPr="00C5673A" w:rsidRDefault="00C5673A" w:rsidP="00C5673A">
            <w:pPr>
              <w:rPr>
                <w:b w:val="0"/>
                <w:bCs w:val="0"/>
              </w:rPr>
            </w:pPr>
            <w:r w:rsidRPr="00C5673A">
              <w:rPr>
                <w:rFonts w:ascii="Open Sans" w:hAnsi="Open Sans" w:cs="Open Sans"/>
                <w:b w:val="0"/>
                <w:bCs w:val="0"/>
                <w:sz w:val="22"/>
                <w:szCs w:val="22"/>
              </w:rPr>
              <w:t>Asturias</w:t>
            </w:r>
          </w:p>
        </w:tc>
        <w:tc>
          <w:tcPr>
            <w:tcW w:w="2127" w:type="dxa"/>
            <w:vAlign w:val="bottom"/>
          </w:tcPr>
          <w:p w14:paraId="64A197C3" w14:textId="1C0CD2AB" w:rsidR="00C5673A" w:rsidRPr="00EC4717" w:rsidRDefault="00C5673A" w:rsidP="00C5673A">
            <w:pP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 xml:space="preserve">Oviedo </w:t>
            </w:r>
          </w:p>
        </w:tc>
        <w:tc>
          <w:tcPr>
            <w:tcW w:w="1984" w:type="dxa"/>
            <w:vAlign w:val="bottom"/>
          </w:tcPr>
          <w:p w14:paraId="2647F6F9" w14:textId="3DECF9FD" w:rsidR="00C5673A" w:rsidRPr="00ED4103" w:rsidRDefault="00C5673A" w:rsidP="00C5673A">
            <w:pPr>
              <w:jc w:val="center"/>
              <w:cnfStyle w:val="000000000000" w:firstRow="0" w:lastRow="0" w:firstColumn="0" w:lastColumn="0" w:oddVBand="0" w:evenVBand="0" w:oddHBand="0" w:evenHBand="0" w:firstRowFirstColumn="0" w:firstRowLastColumn="0" w:lastRowFirstColumn="0" w:lastRowLastColumn="0"/>
            </w:pPr>
            <w:r>
              <w:rPr>
                <w:rFonts w:ascii="Open Sans" w:hAnsi="Open Sans" w:cs="Open Sans"/>
                <w:color w:val="000000"/>
                <w:sz w:val="22"/>
                <w:szCs w:val="22"/>
              </w:rPr>
              <w:t>0,7 %</w:t>
            </w:r>
          </w:p>
        </w:tc>
        <w:tc>
          <w:tcPr>
            <w:tcW w:w="1727" w:type="dxa"/>
            <w:vAlign w:val="bottom"/>
          </w:tcPr>
          <w:p w14:paraId="31DA6DD9" w14:textId="5DF8605D"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b/>
              </w:rPr>
            </w:pPr>
            <w:r w:rsidRPr="00C5673A">
              <w:rPr>
                <w:rFonts w:ascii="Open Sans" w:hAnsi="Open Sans" w:cs="Open Sans"/>
                <w:b/>
                <w:color w:val="000000"/>
                <w:sz w:val="22"/>
                <w:szCs w:val="22"/>
              </w:rPr>
              <w:t>2,2 %</w:t>
            </w:r>
          </w:p>
        </w:tc>
        <w:tc>
          <w:tcPr>
            <w:tcW w:w="1485" w:type="dxa"/>
            <w:vAlign w:val="bottom"/>
          </w:tcPr>
          <w:p w14:paraId="23B4EAEF" w14:textId="28E995C2" w:rsidR="00C5673A" w:rsidRPr="00271926"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1.653 €</w:t>
            </w:r>
          </w:p>
        </w:tc>
      </w:tr>
      <w:tr w:rsidR="00C5673A" w:rsidRPr="00271926" w14:paraId="0CFB68BE"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456AD82" w14:textId="7F5B70A5" w:rsidR="00C5673A" w:rsidRPr="00C5673A" w:rsidRDefault="00C5673A" w:rsidP="00C5673A">
            <w:pPr>
              <w:rPr>
                <w:b w:val="0"/>
                <w:bCs w:val="0"/>
              </w:rPr>
            </w:pPr>
            <w:r w:rsidRPr="00C5673A">
              <w:rPr>
                <w:rFonts w:ascii="Open Sans" w:hAnsi="Open Sans" w:cs="Open Sans"/>
                <w:b w:val="0"/>
                <w:bCs w:val="0"/>
                <w:sz w:val="22"/>
                <w:szCs w:val="22"/>
              </w:rPr>
              <w:t>Las Palmas</w:t>
            </w:r>
          </w:p>
        </w:tc>
        <w:tc>
          <w:tcPr>
            <w:tcW w:w="2127" w:type="dxa"/>
            <w:vAlign w:val="bottom"/>
          </w:tcPr>
          <w:p w14:paraId="6C4B2F90" w14:textId="5520755F" w:rsidR="00C5673A" w:rsidRPr="00EC4717" w:rsidRDefault="00C5673A" w:rsidP="00C5673A">
            <w:pP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Las Palmas de Gran Canaria</w:t>
            </w:r>
          </w:p>
        </w:tc>
        <w:tc>
          <w:tcPr>
            <w:tcW w:w="1984" w:type="dxa"/>
            <w:vAlign w:val="bottom"/>
          </w:tcPr>
          <w:p w14:paraId="1B6C9144" w14:textId="34F24CCA" w:rsidR="00C5673A" w:rsidRPr="00ED4103" w:rsidRDefault="00C5673A" w:rsidP="00C5673A">
            <w:pPr>
              <w:jc w:val="center"/>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2"/>
                <w:szCs w:val="22"/>
              </w:rPr>
              <w:t>1,0 %</w:t>
            </w:r>
          </w:p>
        </w:tc>
        <w:tc>
          <w:tcPr>
            <w:tcW w:w="1727" w:type="dxa"/>
            <w:vAlign w:val="bottom"/>
          </w:tcPr>
          <w:p w14:paraId="2F0D8B30" w14:textId="06BC4204"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b/>
              </w:rPr>
            </w:pPr>
            <w:r w:rsidRPr="00C5673A">
              <w:rPr>
                <w:rFonts w:ascii="Open Sans" w:hAnsi="Open Sans" w:cs="Open Sans"/>
                <w:b/>
                <w:color w:val="000000"/>
                <w:sz w:val="22"/>
                <w:szCs w:val="22"/>
              </w:rPr>
              <w:t>2,1 %</w:t>
            </w:r>
          </w:p>
        </w:tc>
        <w:tc>
          <w:tcPr>
            <w:tcW w:w="1485" w:type="dxa"/>
            <w:vAlign w:val="bottom"/>
          </w:tcPr>
          <w:p w14:paraId="35A16DBB" w14:textId="6F4713A8" w:rsidR="00C5673A" w:rsidRPr="00271926"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2.020 €</w:t>
            </w:r>
          </w:p>
        </w:tc>
      </w:tr>
      <w:tr w:rsidR="00C5673A" w:rsidRPr="00271926" w14:paraId="78B0621A"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D33269B" w14:textId="71FD6A71"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Teruel</w:t>
            </w:r>
          </w:p>
        </w:tc>
        <w:tc>
          <w:tcPr>
            <w:tcW w:w="2127" w:type="dxa"/>
            <w:vAlign w:val="bottom"/>
          </w:tcPr>
          <w:p w14:paraId="0E5CDD5B" w14:textId="5EFEB3C4"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Teruel </w:t>
            </w:r>
          </w:p>
        </w:tc>
        <w:tc>
          <w:tcPr>
            <w:tcW w:w="1984" w:type="dxa"/>
            <w:vAlign w:val="bottom"/>
          </w:tcPr>
          <w:p w14:paraId="1BA4A5C2" w14:textId="7F3D3EC2"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-0,1 %</w:t>
            </w:r>
          </w:p>
        </w:tc>
        <w:tc>
          <w:tcPr>
            <w:tcW w:w="1727" w:type="dxa"/>
            <w:vAlign w:val="bottom"/>
          </w:tcPr>
          <w:p w14:paraId="1677B1B6" w14:textId="6B9D983A"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2,1 %</w:t>
            </w:r>
          </w:p>
        </w:tc>
        <w:tc>
          <w:tcPr>
            <w:tcW w:w="1485" w:type="dxa"/>
            <w:vAlign w:val="bottom"/>
          </w:tcPr>
          <w:p w14:paraId="08E9495E" w14:textId="25354D9D"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1.364 €</w:t>
            </w:r>
          </w:p>
        </w:tc>
      </w:tr>
      <w:tr w:rsidR="00C5673A" w:rsidRPr="00271926" w14:paraId="1C618CC5"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1B0802D" w14:textId="21E95EAC"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Barcelona</w:t>
            </w:r>
          </w:p>
        </w:tc>
        <w:tc>
          <w:tcPr>
            <w:tcW w:w="2127" w:type="dxa"/>
            <w:vAlign w:val="bottom"/>
          </w:tcPr>
          <w:p w14:paraId="0B31F43A" w14:textId="6C435D7D"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Barcelona </w:t>
            </w:r>
          </w:p>
        </w:tc>
        <w:tc>
          <w:tcPr>
            <w:tcW w:w="1984" w:type="dxa"/>
            <w:vAlign w:val="bottom"/>
          </w:tcPr>
          <w:p w14:paraId="1672F930" w14:textId="17E5DDBD"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1,7 %</w:t>
            </w:r>
          </w:p>
        </w:tc>
        <w:tc>
          <w:tcPr>
            <w:tcW w:w="1727" w:type="dxa"/>
            <w:vAlign w:val="bottom"/>
          </w:tcPr>
          <w:p w14:paraId="53CE6F0B" w14:textId="68784817"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1,9 %</w:t>
            </w:r>
          </w:p>
        </w:tc>
        <w:tc>
          <w:tcPr>
            <w:tcW w:w="1485" w:type="dxa"/>
            <w:vAlign w:val="bottom"/>
          </w:tcPr>
          <w:p w14:paraId="3186D336" w14:textId="61045BCC"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4.512 €</w:t>
            </w:r>
          </w:p>
        </w:tc>
      </w:tr>
      <w:tr w:rsidR="00C5673A" w:rsidRPr="00271926" w14:paraId="2F15AFCA"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5622659" w14:textId="10E1BC70"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Soria</w:t>
            </w:r>
          </w:p>
        </w:tc>
        <w:tc>
          <w:tcPr>
            <w:tcW w:w="2127" w:type="dxa"/>
            <w:vAlign w:val="bottom"/>
          </w:tcPr>
          <w:p w14:paraId="01661ACC" w14:textId="6F6664D7"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Soria  </w:t>
            </w:r>
          </w:p>
        </w:tc>
        <w:tc>
          <w:tcPr>
            <w:tcW w:w="1984" w:type="dxa"/>
            <w:vAlign w:val="bottom"/>
          </w:tcPr>
          <w:p w14:paraId="451EBE41" w14:textId="69728F8B"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2,8 %</w:t>
            </w:r>
          </w:p>
        </w:tc>
        <w:tc>
          <w:tcPr>
            <w:tcW w:w="1727" w:type="dxa"/>
            <w:vAlign w:val="bottom"/>
          </w:tcPr>
          <w:p w14:paraId="47759BA8" w14:textId="6AF9A4A1"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1,9 %</w:t>
            </w:r>
          </w:p>
        </w:tc>
        <w:tc>
          <w:tcPr>
            <w:tcW w:w="1485" w:type="dxa"/>
            <w:vAlign w:val="bottom"/>
          </w:tcPr>
          <w:p w14:paraId="05E14B62" w14:textId="350BE719"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1.351 €</w:t>
            </w:r>
          </w:p>
        </w:tc>
      </w:tr>
      <w:tr w:rsidR="00C5673A" w:rsidRPr="00271926" w14:paraId="671FE25A"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E05B345" w14:textId="3F06C0E5"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Ciudad Real</w:t>
            </w:r>
          </w:p>
        </w:tc>
        <w:tc>
          <w:tcPr>
            <w:tcW w:w="2127" w:type="dxa"/>
            <w:vAlign w:val="bottom"/>
          </w:tcPr>
          <w:p w14:paraId="6BBB4491" w14:textId="4637839E"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Ciudad Real </w:t>
            </w:r>
          </w:p>
        </w:tc>
        <w:tc>
          <w:tcPr>
            <w:tcW w:w="1984" w:type="dxa"/>
            <w:vAlign w:val="bottom"/>
          </w:tcPr>
          <w:p w14:paraId="0A425B1A" w14:textId="062DAC3A"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0,8 %</w:t>
            </w:r>
          </w:p>
        </w:tc>
        <w:tc>
          <w:tcPr>
            <w:tcW w:w="1727" w:type="dxa"/>
            <w:vAlign w:val="bottom"/>
          </w:tcPr>
          <w:p w14:paraId="2EADA1A1" w14:textId="2134EABD"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1,9 %</w:t>
            </w:r>
          </w:p>
        </w:tc>
        <w:tc>
          <w:tcPr>
            <w:tcW w:w="1485" w:type="dxa"/>
            <w:vAlign w:val="bottom"/>
          </w:tcPr>
          <w:p w14:paraId="561E6545" w14:textId="2B9FF4F7"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1.271 €</w:t>
            </w:r>
          </w:p>
        </w:tc>
      </w:tr>
      <w:tr w:rsidR="00C5673A" w:rsidRPr="00271926" w14:paraId="4738E50B"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D3B922D" w14:textId="0122F17A"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Almería</w:t>
            </w:r>
          </w:p>
        </w:tc>
        <w:tc>
          <w:tcPr>
            <w:tcW w:w="2127" w:type="dxa"/>
            <w:vAlign w:val="bottom"/>
          </w:tcPr>
          <w:p w14:paraId="0163AF61" w14:textId="5AC11372"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Almería </w:t>
            </w:r>
          </w:p>
        </w:tc>
        <w:tc>
          <w:tcPr>
            <w:tcW w:w="1984" w:type="dxa"/>
            <w:vAlign w:val="bottom"/>
          </w:tcPr>
          <w:p w14:paraId="684BC659" w14:textId="061E1AF2"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0,7 %</w:t>
            </w:r>
          </w:p>
        </w:tc>
        <w:tc>
          <w:tcPr>
            <w:tcW w:w="1727" w:type="dxa"/>
            <w:vAlign w:val="bottom"/>
          </w:tcPr>
          <w:p w14:paraId="3E052152" w14:textId="4BFC77ED"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1,8 %</w:t>
            </w:r>
          </w:p>
        </w:tc>
        <w:tc>
          <w:tcPr>
            <w:tcW w:w="1485" w:type="dxa"/>
            <w:vAlign w:val="bottom"/>
          </w:tcPr>
          <w:p w14:paraId="65DC15B0" w14:textId="44D46637"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1.288 €</w:t>
            </w:r>
          </w:p>
        </w:tc>
      </w:tr>
      <w:tr w:rsidR="00C5673A" w:rsidRPr="00271926" w14:paraId="74388B3E"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CB7A43F" w14:textId="34969875"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Lugo</w:t>
            </w:r>
          </w:p>
        </w:tc>
        <w:tc>
          <w:tcPr>
            <w:tcW w:w="2127" w:type="dxa"/>
            <w:vAlign w:val="bottom"/>
          </w:tcPr>
          <w:p w14:paraId="5C24E924" w14:textId="3C13EE75"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Lugo </w:t>
            </w:r>
          </w:p>
        </w:tc>
        <w:tc>
          <w:tcPr>
            <w:tcW w:w="1984" w:type="dxa"/>
            <w:vAlign w:val="bottom"/>
          </w:tcPr>
          <w:p w14:paraId="0F10E56B" w14:textId="2F9199E9"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0,5 %</w:t>
            </w:r>
          </w:p>
        </w:tc>
        <w:tc>
          <w:tcPr>
            <w:tcW w:w="1727" w:type="dxa"/>
            <w:vAlign w:val="bottom"/>
          </w:tcPr>
          <w:p w14:paraId="163DFD76" w14:textId="7FCA5F2D"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1,6 %</w:t>
            </w:r>
          </w:p>
        </w:tc>
        <w:tc>
          <w:tcPr>
            <w:tcW w:w="1485" w:type="dxa"/>
            <w:vAlign w:val="bottom"/>
          </w:tcPr>
          <w:p w14:paraId="63314532" w14:textId="057A502D"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1.317 €</w:t>
            </w:r>
          </w:p>
        </w:tc>
      </w:tr>
      <w:tr w:rsidR="00C5673A" w:rsidRPr="00271926" w14:paraId="4F63CB14"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3842C1EF" w14:textId="106390C2"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Valladolid</w:t>
            </w:r>
          </w:p>
        </w:tc>
        <w:tc>
          <w:tcPr>
            <w:tcW w:w="2127" w:type="dxa"/>
            <w:vAlign w:val="bottom"/>
          </w:tcPr>
          <w:p w14:paraId="7416C3C4" w14:textId="63AFC383"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Valladolid </w:t>
            </w:r>
          </w:p>
        </w:tc>
        <w:tc>
          <w:tcPr>
            <w:tcW w:w="1984" w:type="dxa"/>
            <w:vAlign w:val="bottom"/>
          </w:tcPr>
          <w:p w14:paraId="28611D28" w14:textId="11B231E5"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-1,0 %</w:t>
            </w:r>
          </w:p>
        </w:tc>
        <w:tc>
          <w:tcPr>
            <w:tcW w:w="1727" w:type="dxa"/>
            <w:vAlign w:val="bottom"/>
          </w:tcPr>
          <w:p w14:paraId="30A85130" w14:textId="7C30CB12"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1,4 %</w:t>
            </w:r>
          </w:p>
        </w:tc>
        <w:tc>
          <w:tcPr>
            <w:tcW w:w="1485" w:type="dxa"/>
            <w:vAlign w:val="bottom"/>
          </w:tcPr>
          <w:p w14:paraId="443F671E" w14:textId="1BD6A773"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1.662 €</w:t>
            </w:r>
          </w:p>
        </w:tc>
      </w:tr>
      <w:tr w:rsidR="00C5673A" w:rsidRPr="00271926" w14:paraId="66BD44D6"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272AEA9" w14:textId="56B50FB2"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Badajoz</w:t>
            </w:r>
          </w:p>
        </w:tc>
        <w:tc>
          <w:tcPr>
            <w:tcW w:w="2127" w:type="dxa"/>
            <w:vAlign w:val="bottom"/>
          </w:tcPr>
          <w:p w14:paraId="44A34E8E" w14:textId="68EC5D97"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Badajoz </w:t>
            </w:r>
          </w:p>
        </w:tc>
        <w:tc>
          <w:tcPr>
            <w:tcW w:w="1984" w:type="dxa"/>
            <w:vAlign w:val="bottom"/>
          </w:tcPr>
          <w:p w14:paraId="48096A2A" w14:textId="76EB6A2C"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2,7 %</w:t>
            </w:r>
          </w:p>
        </w:tc>
        <w:tc>
          <w:tcPr>
            <w:tcW w:w="1727" w:type="dxa"/>
            <w:vAlign w:val="bottom"/>
          </w:tcPr>
          <w:p w14:paraId="2C3A9929" w14:textId="405504E8"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1,2 %</w:t>
            </w:r>
          </w:p>
        </w:tc>
        <w:tc>
          <w:tcPr>
            <w:tcW w:w="1485" w:type="dxa"/>
            <w:vAlign w:val="bottom"/>
          </w:tcPr>
          <w:p w14:paraId="5F1293CF" w14:textId="583853C3"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1.281 €</w:t>
            </w:r>
          </w:p>
        </w:tc>
      </w:tr>
      <w:tr w:rsidR="00C5673A" w:rsidRPr="00271926" w14:paraId="271CFCE7"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0606C161" w14:textId="7B27FE1C"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Castellón</w:t>
            </w:r>
          </w:p>
        </w:tc>
        <w:tc>
          <w:tcPr>
            <w:tcW w:w="2127" w:type="dxa"/>
            <w:vAlign w:val="bottom"/>
          </w:tcPr>
          <w:p w14:paraId="4C354E79" w14:textId="7629CC5B"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Castellón de la Plana / Castelló de la Plana</w:t>
            </w:r>
          </w:p>
        </w:tc>
        <w:tc>
          <w:tcPr>
            <w:tcW w:w="1984" w:type="dxa"/>
            <w:vAlign w:val="bottom"/>
          </w:tcPr>
          <w:p w14:paraId="3410668D" w14:textId="18AA19EA"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0,6 %</w:t>
            </w:r>
          </w:p>
        </w:tc>
        <w:tc>
          <w:tcPr>
            <w:tcW w:w="1727" w:type="dxa"/>
            <w:vAlign w:val="bottom"/>
          </w:tcPr>
          <w:p w14:paraId="743B0CF5" w14:textId="50B0F37C"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1,1 %</w:t>
            </w:r>
          </w:p>
        </w:tc>
        <w:tc>
          <w:tcPr>
            <w:tcW w:w="1485" w:type="dxa"/>
            <w:vAlign w:val="bottom"/>
          </w:tcPr>
          <w:p w14:paraId="186CF5C3" w14:textId="7F9E4E3D"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1.243 €</w:t>
            </w:r>
          </w:p>
        </w:tc>
      </w:tr>
      <w:tr w:rsidR="00C5673A" w:rsidRPr="00271926" w14:paraId="5669256E"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1E1EF333" w14:textId="484C639E"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Palencia</w:t>
            </w:r>
          </w:p>
        </w:tc>
        <w:tc>
          <w:tcPr>
            <w:tcW w:w="2127" w:type="dxa"/>
            <w:vAlign w:val="bottom"/>
          </w:tcPr>
          <w:p w14:paraId="2464B7BB" w14:textId="4ECF645D"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Palencia </w:t>
            </w:r>
          </w:p>
        </w:tc>
        <w:tc>
          <w:tcPr>
            <w:tcW w:w="1984" w:type="dxa"/>
            <w:vAlign w:val="bottom"/>
          </w:tcPr>
          <w:p w14:paraId="46E9505C" w14:textId="2F79AED8"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0,1 %</w:t>
            </w:r>
          </w:p>
        </w:tc>
        <w:tc>
          <w:tcPr>
            <w:tcW w:w="1727" w:type="dxa"/>
            <w:vAlign w:val="bottom"/>
          </w:tcPr>
          <w:p w14:paraId="7FBCA193" w14:textId="6A35634B"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1,0 %</w:t>
            </w:r>
          </w:p>
        </w:tc>
        <w:tc>
          <w:tcPr>
            <w:tcW w:w="1485" w:type="dxa"/>
            <w:vAlign w:val="bottom"/>
          </w:tcPr>
          <w:p w14:paraId="028F8189" w14:textId="02367E54"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1.522 €</w:t>
            </w:r>
          </w:p>
        </w:tc>
      </w:tr>
      <w:tr w:rsidR="00C5673A" w:rsidRPr="00271926" w14:paraId="5DAAF7DD"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1ACDE3CD" w14:textId="35969085"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Cáceres</w:t>
            </w:r>
          </w:p>
        </w:tc>
        <w:tc>
          <w:tcPr>
            <w:tcW w:w="2127" w:type="dxa"/>
            <w:vAlign w:val="bottom"/>
          </w:tcPr>
          <w:p w14:paraId="67A8FD19" w14:textId="054A1CF4"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Cáceres </w:t>
            </w:r>
          </w:p>
        </w:tc>
        <w:tc>
          <w:tcPr>
            <w:tcW w:w="1984" w:type="dxa"/>
            <w:vAlign w:val="bottom"/>
          </w:tcPr>
          <w:p w14:paraId="590288D0" w14:textId="1D2F1162"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-0,6 %</w:t>
            </w:r>
          </w:p>
        </w:tc>
        <w:tc>
          <w:tcPr>
            <w:tcW w:w="1727" w:type="dxa"/>
            <w:vAlign w:val="bottom"/>
          </w:tcPr>
          <w:p w14:paraId="51478082" w14:textId="31BAADFA"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1,0 %</w:t>
            </w:r>
          </w:p>
        </w:tc>
        <w:tc>
          <w:tcPr>
            <w:tcW w:w="1485" w:type="dxa"/>
            <w:vAlign w:val="bottom"/>
          </w:tcPr>
          <w:p w14:paraId="3F19D91D" w14:textId="2B77F26F"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1.306 €</w:t>
            </w:r>
          </w:p>
        </w:tc>
      </w:tr>
      <w:tr w:rsidR="00C5673A" w:rsidRPr="00271926" w14:paraId="550E5D15"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02F3BA52" w14:textId="6C331C46"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lastRenderedPageBreak/>
              <w:t>Navarra</w:t>
            </w:r>
          </w:p>
        </w:tc>
        <w:tc>
          <w:tcPr>
            <w:tcW w:w="2127" w:type="dxa"/>
            <w:vAlign w:val="bottom"/>
          </w:tcPr>
          <w:p w14:paraId="5B3F97E1" w14:textId="67420617"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Pamplona / Iruña</w:t>
            </w:r>
          </w:p>
        </w:tc>
        <w:tc>
          <w:tcPr>
            <w:tcW w:w="1984" w:type="dxa"/>
            <w:vAlign w:val="bottom"/>
          </w:tcPr>
          <w:p w14:paraId="31B28682" w14:textId="61B10D56"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-3,6 %</w:t>
            </w:r>
          </w:p>
        </w:tc>
        <w:tc>
          <w:tcPr>
            <w:tcW w:w="1727" w:type="dxa"/>
            <w:vAlign w:val="bottom"/>
          </w:tcPr>
          <w:p w14:paraId="28DEE5B2" w14:textId="60597AF3"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1,0 %</w:t>
            </w:r>
          </w:p>
        </w:tc>
        <w:tc>
          <w:tcPr>
            <w:tcW w:w="1485" w:type="dxa"/>
            <w:vAlign w:val="bottom"/>
          </w:tcPr>
          <w:p w14:paraId="0A1EA78C" w14:textId="1280E580"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2.293 €</w:t>
            </w:r>
          </w:p>
        </w:tc>
      </w:tr>
      <w:tr w:rsidR="00C5673A" w:rsidRPr="00271926" w14:paraId="1E8B295F"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315C373" w14:textId="7FD0A116"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Bizkaia</w:t>
            </w:r>
          </w:p>
        </w:tc>
        <w:tc>
          <w:tcPr>
            <w:tcW w:w="2127" w:type="dxa"/>
            <w:vAlign w:val="bottom"/>
          </w:tcPr>
          <w:p w14:paraId="14F7DDEF" w14:textId="6AF08F9F"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Bilbao </w:t>
            </w:r>
          </w:p>
        </w:tc>
        <w:tc>
          <w:tcPr>
            <w:tcW w:w="1984" w:type="dxa"/>
            <w:vAlign w:val="bottom"/>
          </w:tcPr>
          <w:p w14:paraId="0409D46C" w14:textId="63CEACE5"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1,1 %</w:t>
            </w:r>
          </w:p>
        </w:tc>
        <w:tc>
          <w:tcPr>
            <w:tcW w:w="1727" w:type="dxa"/>
            <w:vAlign w:val="bottom"/>
          </w:tcPr>
          <w:p w14:paraId="0826E85D" w14:textId="0ACBA742"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0,9 %</w:t>
            </w:r>
          </w:p>
        </w:tc>
        <w:tc>
          <w:tcPr>
            <w:tcW w:w="1485" w:type="dxa"/>
            <w:vAlign w:val="bottom"/>
          </w:tcPr>
          <w:p w14:paraId="57ACE2F1" w14:textId="3F2F32F0"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3.202 €</w:t>
            </w:r>
          </w:p>
        </w:tc>
      </w:tr>
      <w:tr w:rsidR="00C5673A" w:rsidRPr="00271926" w14:paraId="386D2C70"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BBED19D" w14:textId="01C0CC58"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Ourense</w:t>
            </w:r>
          </w:p>
        </w:tc>
        <w:tc>
          <w:tcPr>
            <w:tcW w:w="2127" w:type="dxa"/>
            <w:vAlign w:val="bottom"/>
          </w:tcPr>
          <w:p w14:paraId="427C6567" w14:textId="074575F7"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Ourense  </w:t>
            </w:r>
          </w:p>
        </w:tc>
        <w:tc>
          <w:tcPr>
            <w:tcW w:w="1984" w:type="dxa"/>
            <w:vAlign w:val="bottom"/>
          </w:tcPr>
          <w:p w14:paraId="394AF370" w14:textId="41DC4F31"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-0,8 %</w:t>
            </w:r>
          </w:p>
        </w:tc>
        <w:tc>
          <w:tcPr>
            <w:tcW w:w="1727" w:type="dxa"/>
            <w:vAlign w:val="bottom"/>
          </w:tcPr>
          <w:p w14:paraId="0B69F36C" w14:textId="3BD6D7D4"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0,9 %</w:t>
            </w:r>
          </w:p>
        </w:tc>
        <w:tc>
          <w:tcPr>
            <w:tcW w:w="1485" w:type="dxa"/>
            <w:vAlign w:val="bottom"/>
          </w:tcPr>
          <w:p w14:paraId="7AAC20A4" w14:textId="7B861BB2"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1.521 €</w:t>
            </w:r>
          </w:p>
        </w:tc>
      </w:tr>
      <w:tr w:rsidR="00C5673A" w:rsidRPr="00271926" w14:paraId="25642320"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5C64976" w14:textId="5C6C0F7A"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Valencia</w:t>
            </w:r>
          </w:p>
        </w:tc>
        <w:tc>
          <w:tcPr>
            <w:tcW w:w="2127" w:type="dxa"/>
            <w:vAlign w:val="bottom"/>
          </w:tcPr>
          <w:p w14:paraId="02FD29F6" w14:textId="0ECB367C"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Valencia </w:t>
            </w:r>
          </w:p>
        </w:tc>
        <w:tc>
          <w:tcPr>
            <w:tcW w:w="1984" w:type="dxa"/>
            <w:vAlign w:val="bottom"/>
          </w:tcPr>
          <w:p w14:paraId="453F70AC" w14:textId="3C22AF5E"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2,5 %</w:t>
            </w:r>
          </w:p>
        </w:tc>
        <w:tc>
          <w:tcPr>
            <w:tcW w:w="1727" w:type="dxa"/>
            <w:vAlign w:val="bottom"/>
          </w:tcPr>
          <w:p w14:paraId="2DD25A11" w14:textId="19AE6A57"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0,6 %</w:t>
            </w:r>
          </w:p>
        </w:tc>
        <w:tc>
          <w:tcPr>
            <w:tcW w:w="1485" w:type="dxa"/>
            <w:vAlign w:val="bottom"/>
          </w:tcPr>
          <w:p w14:paraId="79D61803" w14:textId="7F768419"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1.916 €</w:t>
            </w:r>
          </w:p>
        </w:tc>
      </w:tr>
      <w:tr w:rsidR="00C5673A" w:rsidRPr="00271926" w14:paraId="0EFF3150"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0DA45C2B" w14:textId="389AAE6A"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Salamanca</w:t>
            </w:r>
          </w:p>
        </w:tc>
        <w:tc>
          <w:tcPr>
            <w:tcW w:w="2127" w:type="dxa"/>
            <w:vAlign w:val="bottom"/>
          </w:tcPr>
          <w:p w14:paraId="7570936B" w14:textId="24F5FDE7"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Salamanca </w:t>
            </w:r>
          </w:p>
        </w:tc>
        <w:tc>
          <w:tcPr>
            <w:tcW w:w="1984" w:type="dxa"/>
            <w:vAlign w:val="bottom"/>
          </w:tcPr>
          <w:p w14:paraId="7AD459BE" w14:textId="53324021"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-0,1 %</w:t>
            </w:r>
          </w:p>
        </w:tc>
        <w:tc>
          <w:tcPr>
            <w:tcW w:w="1727" w:type="dxa"/>
            <w:vAlign w:val="bottom"/>
          </w:tcPr>
          <w:p w14:paraId="3F83C130" w14:textId="49D3187D"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0,4 %</w:t>
            </w:r>
          </w:p>
        </w:tc>
        <w:tc>
          <w:tcPr>
            <w:tcW w:w="1485" w:type="dxa"/>
            <w:vAlign w:val="bottom"/>
          </w:tcPr>
          <w:p w14:paraId="3C972F52" w14:textId="7C95A2DA"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1.897 €</w:t>
            </w:r>
          </w:p>
        </w:tc>
      </w:tr>
      <w:tr w:rsidR="00C5673A" w:rsidRPr="00271926" w14:paraId="109E837C"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6F137957" w14:textId="2121E2FD"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Jaén</w:t>
            </w:r>
          </w:p>
        </w:tc>
        <w:tc>
          <w:tcPr>
            <w:tcW w:w="2127" w:type="dxa"/>
            <w:vAlign w:val="bottom"/>
          </w:tcPr>
          <w:p w14:paraId="5922F00C" w14:textId="0C1A4C01"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Jaén </w:t>
            </w:r>
          </w:p>
        </w:tc>
        <w:tc>
          <w:tcPr>
            <w:tcW w:w="1984" w:type="dxa"/>
            <w:vAlign w:val="bottom"/>
          </w:tcPr>
          <w:p w14:paraId="2C5FD680" w14:textId="425F5FD5"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-0,1 %</w:t>
            </w:r>
          </w:p>
        </w:tc>
        <w:tc>
          <w:tcPr>
            <w:tcW w:w="1727" w:type="dxa"/>
            <w:vAlign w:val="bottom"/>
          </w:tcPr>
          <w:p w14:paraId="73B4B3AE" w14:textId="5FEC41D9"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000000"/>
                <w:sz w:val="22"/>
                <w:szCs w:val="22"/>
              </w:rPr>
              <w:t>0,04 %</w:t>
            </w:r>
          </w:p>
        </w:tc>
        <w:tc>
          <w:tcPr>
            <w:tcW w:w="1485" w:type="dxa"/>
            <w:vAlign w:val="bottom"/>
          </w:tcPr>
          <w:p w14:paraId="765E097A" w14:textId="68962980"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1.283 €</w:t>
            </w:r>
          </w:p>
        </w:tc>
      </w:tr>
      <w:tr w:rsidR="00C5673A" w:rsidRPr="00271926" w14:paraId="36B9D26F"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C26F0C2" w14:textId="2C0DCC84"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Córdoba</w:t>
            </w:r>
          </w:p>
        </w:tc>
        <w:tc>
          <w:tcPr>
            <w:tcW w:w="2127" w:type="dxa"/>
            <w:vAlign w:val="bottom"/>
          </w:tcPr>
          <w:p w14:paraId="6CEF0B9B" w14:textId="67E287F8"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Córdoba </w:t>
            </w:r>
          </w:p>
        </w:tc>
        <w:tc>
          <w:tcPr>
            <w:tcW w:w="1984" w:type="dxa"/>
            <w:vAlign w:val="bottom"/>
          </w:tcPr>
          <w:p w14:paraId="299D1DF0" w14:textId="05A70903"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0,2 %</w:t>
            </w:r>
          </w:p>
        </w:tc>
        <w:tc>
          <w:tcPr>
            <w:tcW w:w="1727" w:type="dxa"/>
            <w:vAlign w:val="bottom"/>
          </w:tcPr>
          <w:p w14:paraId="0B9257EF" w14:textId="74117022"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-0,2 %</w:t>
            </w:r>
          </w:p>
        </w:tc>
        <w:tc>
          <w:tcPr>
            <w:tcW w:w="1485" w:type="dxa"/>
            <w:vAlign w:val="bottom"/>
          </w:tcPr>
          <w:p w14:paraId="084413D7" w14:textId="48B60D2A"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1.502 €</w:t>
            </w:r>
          </w:p>
        </w:tc>
      </w:tr>
      <w:tr w:rsidR="00C5673A" w:rsidRPr="00271926" w14:paraId="2C51287D"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11CAB010" w14:textId="286BBE2B"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Pontevedra</w:t>
            </w:r>
          </w:p>
        </w:tc>
        <w:tc>
          <w:tcPr>
            <w:tcW w:w="2127" w:type="dxa"/>
            <w:vAlign w:val="bottom"/>
          </w:tcPr>
          <w:p w14:paraId="27D11115" w14:textId="78872B7A"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Pontevedra  </w:t>
            </w:r>
          </w:p>
        </w:tc>
        <w:tc>
          <w:tcPr>
            <w:tcW w:w="1984" w:type="dxa"/>
            <w:vAlign w:val="bottom"/>
          </w:tcPr>
          <w:p w14:paraId="1A89201B" w14:textId="5C07C375"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-1,6 %</w:t>
            </w:r>
          </w:p>
        </w:tc>
        <w:tc>
          <w:tcPr>
            <w:tcW w:w="1727" w:type="dxa"/>
            <w:vAlign w:val="bottom"/>
          </w:tcPr>
          <w:p w14:paraId="19A17E9B" w14:textId="30E24A21"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-0,8 %</w:t>
            </w:r>
          </w:p>
        </w:tc>
        <w:tc>
          <w:tcPr>
            <w:tcW w:w="1485" w:type="dxa"/>
            <w:vAlign w:val="bottom"/>
          </w:tcPr>
          <w:p w14:paraId="6382CF22" w14:textId="7A821173"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1.680 €</w:t>
            </w:r>
          </w:p>
        </w:tc>
      </w:tr>
      <w:tr w:rsidR="00C5673A" w:rsidRPr="00271926" w14:paraId="73FD80F9"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08B14C8" w14:textId="486B45C5"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Cuenca</w:t>
            </w:r>
          </w:p>
        </w:tc>
        <w:tc>
          <w:tcPr>
            <w:tcW w:w="2127" w:type="dxa"/>
            <w:vAlign w:val="bottom"/>
          </w:tcPr>
          <w:p w14:paraId="32A92089" w14:textId="749BE738"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Cuenca </w:t>
            </w:r>
          </w:p>
        </w:tc>
        <w:tc>
          <w:tcPr>
            <w:tcW w:w="1984" w:type="dxa"/>
            <w:vAlign w:val="bottom"/>
          </w:tcPr>
          <w:p w14:paraId="1D52067B" w14:textId="744299AB"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-4,7 %</w:t>
            </w:r>
          </w:p>
        </w:tc>
        <w:tc>
          <w:tcPr>
            <w:tcW w:w="1727" w:type="dxa"/>
            <w:vAlign w:val="bottom"/>
          </w:tcPr>
          <w:p w14:paraId="6ECF66EF" w14:textId="3A0E327A"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-0,9 %</w:t>
            </w:r>
          </w:p>
        </w:tc>
        <w:tc>
          <w:tcPr>
            <w:tcW w:w="1485" w:type="dxa"/>
            <w:vAlign w:val="bottom"/>
          </w:tcPr>
          <w:p w14:paraId="25ACDF41" w14:textId="5537F28D"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1.256 €</w:t>
            </w:r>
          </w:p>
        </w:tc>
      </w:tr>
      <w:tr w:rsidR="00C5673A" w:rsidRPr="00271926" w14:paraId="510BD7CC"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5F49D1C8" w14:textId="566081B6"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Murcia</w:t>
            </w:r>
          </w:p>
        </w:tc>
        <w:tc>
          <w:tcPr>
            <w:tcW w:w="2127" w:type="dxa"/>
            <w:vAlign w:val="bottom"/>
          </w:tcPr>
          <w:p w14:paraId="2E01D347" w14:textId="1C0251F2"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Murcia </w:t>
            </w:r>
          </w:p>
        </w:tc>
        <w:tc>
          <w:tcPr>
            <w:tcW w:w="1984" w:type="dxa"/>
            <w:vAlign w:val="bottom"/>
          </w:tcPr>
          <w:p w14:paraId="17131AAB" w14:textId="4DB347D0"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-3,2 %</w:t>
            </w:r>
          </w:p>
        </w:tc>
        <w:tc>
          <w:tcPr>
            <w:tcW w:w="1727" w:type="dxa"/>
            <w:vAlign w:val="bottom"/>
          </w:tcPr>
          <w:p w14:paraId="52F2DDB9" w14:textId="71D6DA11"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-1,1 %</w:t>
            </w:r>
          </w:p>
        </w:tc>
        <w:tc>
          <w:tcPr>
            <w:tcW w:w="1485" w:type="dxa"/>
            <w:vAlign w:val="bottom"/>
          </w:tcPr>
          <w:p w14:paraId="4A30E69C" w14:textId="479958F7"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1.338 €</w:t>
            </w:r>
          </w:p>
        </w:tc>
      </w:tr>
      <w:tr w:rsidR="00C5673A" w:rsidRPr="00271926" w14:paraId="4D7C2C8C"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E6280E1" w14:textId="4F5D1994"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Zamora</w:t>
            </w:r>
          </w:p>
        </w:tc>
        <w:tc>
          <w:tcPr>
            <w:tcW w:w="2127" w:type="dxa"/>
            <w:vAlign w:val="bottom"/>
          </w:tcPr>
          <w:p w14:paraId="33F7146D" w14:textId="200E7B78"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Zamora  </w:t>
            </w:r>
          </w:p>
        </w:tc>
        <w:tc>
          <w:tcPr>
            <w:tcW w:w="1984" w:type="dxa"/>
            <w:vAlign w:val="bottom"/>
          </w:tcPr>
          <w:p w14:paraId="28D76786" w14:textId="5A78A068"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-1,7 %</w:t>
            </w:r>
          </w:p>
        </w:tc>
        <w:tc>
          <w:tcPr>
            <w:tcW w:w="1727" w:type="dxa"/>
            <w:vAlign w:val="bottom"/>
          </w:tcPr>
          <w:p w14:paraId="6AAB55EB" w14:textId="60AE94B7"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-1,6 %</w:t>
            </w:r>
          </w:p>
        </w:tc>
        <w:tc>
          <w:tcPr>
            <w:tcW w:w="1485" w:type="dxa"/>
            <w:vAlign w:val="bottom"/>
          </w:tcPr>
          <w:p w14:paraId="4A0C1B32" w14:textId="78FBCD3E"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1.303 €</w:t>
            </w:r>
          </w:p>
        </w:tc>
      </w:tr>
      <w:tr w:rsidR="00C5673A" w:rsidRPr="00271926" w14:paraId="402B12A5"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FC5D977" w14:textId="41AB2346"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Ávila</w:t>
            </w:r>
          </w:p>
        </w:tc>
        <w:tc>
          <w:tcPr>
            <w:tcW w:w="2127" w:type="dxa"/>
            <w:vAlign w:val="bottom"/>
          </w:tcPr>
          <w:p w14:paraId="54348591" w14:textId="66A37A2A"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Ávila </w:t>
            </w:r>
          </w:p>
        </w:tc>
        <w:tc>
          <w:tcPr>
            <w:tcW w:w="1984" w:type="dxa"/>
            <w:vAlign w:val="bottom"/>
          </w:tcPr>
          <w:p w14:paraId="7DF4F59F" w14:textId="248C0FA4"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-2,5 %</w:t>
            </w:r>
          </w:p>
        </w:tc>
        <w:tc>
          <w:tcPr>
            <w:tcW w:w="1727" w:type="dxa"/>
            <w:vAlign w:val="bottom"/>
          </w:tcPr>
          <w:p w14:paraId="397FCED2" w14:textId="2C40D448"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-2,2 %</w:t>
            </w:r>
          </w:p>
        </w:tc>
        <w:tc>
          <w:tcPr>
            <w:tcW w:w="1485" w:type="dxa"/>
            <w:vAlign w:val="bottom"/>
          </w:tcPr>
          <w:p w14:paraId="772E2414" w14:textId="161721AB"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1.145 €</w:t>
            </w:r>
          </w:p>
        </w:tc>
      </w:tr>
      <w:tr w:rsidR="00C5673A" w:rsidRPr="00271926" w14:paraId="634D2D57" w14:textId="77777777" w:rsidTr="00B11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4F7715B0" w14:textId="5D750C78"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Tarragona</w:t>
            </w:r>
          </w:p>
        </w:tc>
        <w:tc>
          <w:tcPr>
            <w:tcW w:w="2127" w:type="dxa"/>
            <w:vAlign w:val="bottom"/>
          </w:tcPr>
          <w:p w14:paraId="2687E14C" w14:textId="289299B7" w:rsidR="00C5673A" w:rsidRDefault="00C5673A" w:rsidP="00C5673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Tarragona </w:t>
            </w:r>
          </w:p>
        </w:tc>
        <w:tc>
          <w:tcPr>
            <w:tcW w:w="1984" w:type="dxa"/>
            <w:vAlign w:val="bottom"/>
          </w:tcPr>
          <w:p w14:paraId="45DAEAB7" w14:textId="4E1C8F7E"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1,4 %</w:t>
            </w:r>
          </w:p>
        </w:tc>
        <w:tc>
          <w:tcPr>
            <w:tcW w:w="1727" w:type="dxa"/>
            <w:vAlign w:val="bottom"/>
          </w:tcPr>
          <w:p w14:paraId="7A6B3A9B" w14:textId="38B9BD99" w:rsidR="00C5673A" w:rsidRP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-2,4 %</w:t>
            </w:r>
          </w:p>
        </w:tc>
        <w:tc>
          <w:tcPr>
            <w:tcW w:w="1485" w:type="dxa"/>
            <w:vAlign w:val="bottom"/>
          </w:tcPr>
          <w:p w14:paraId="7EB43B20" w14:textId="34354041" w:rsidR="00C5673A" w:rsidRDefault="00C5673A" w:rsidP="00C5673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1.631 €</w:t>
            </w:r>
          </w:p>
        </w:tc>
      </w:tr>
      <w:tr w:rsidR="00C5673A" w:rsidRPr="00271926" w14:paraId="5C1D2E0D" w14:textId="77777777" w:rsidTr="00B11292">
        <w:trPr>
          <w:trHeight w:val="285"/>
        </w:trPr>
        <w:tc>
          <w:tcPr>
            <w:cnfStyle w:val="001000000000" w:firstRow="0" w:lastRow="0" w:firstColumn="1" w:lastColumn="0" w:oddVBand="0" w:evenVBand="0" w:oddHBand="0" w:evenHBand="0" w:firstRowFirstColumn="0" w:firstRowLastColumn="0" w:lastRowFirstColumn="0" w:lastRowLastColumn="0"/>
            <w:tcW w:w="1696" w:type="dxa"/>
            <w:shd w:val="clear" w:color="auto" w:fill="1DBDC5"/>
            <w:vAlign w:val="bottom"/>
          </w:tcPr>
          <w:p w14:paraId="22D1400B" w14:textId="6E6C41D7" w:rsidR="00C5673A" w:rsidRPr="00C5673A" w:rsidRDefault="00C5673A" w:rsidP="00C5673A">
            <w:pPr>
              <w:rPr>
                <w:rFonts w:ascii="Open Sans" w:hAnsi="Open Sans" w:cs="Open Sans"/>
                <w:b w:val="0"/>
                <w:bCs w:val="0"/>
                <w:sz w:val="22"/>
                <w:szCs w:val="22"/>
              </w:rPr>
            </w:pPr>
            <w:r w:rsidRPr="00C5673A">
              <w:rPr>
                <w:rFonts w:ascii="Open Sans" w:hAnsi="Open Sans" w:cs="Open Sans"/>
                <w:b w:val="0"/>
                <w:bCs w:val="0"/>
                <w:sz w:val="22"/>
                <w:szCs w:val="22"/>
              </w:rPr>
              <w:t>Lleida</w:t>
            </w:r>
          </w:p>
        </w:tc>
        <w:tc>
          <w:tcPr>
            <w:tcW w:w="2127" w:type="dxa"/>
            <w:vAlign w:val="bottom"/>
          </w:tcPr>
          <w:p w14:paraId="5092ACE1" w14:textId="1B1FD002" w:rsidR="00C5673A" w:rsidRDefault="00C5673A" w:rsidP="00C5673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Lleida </w:t>
            </w:r>
          </w:p>
        </w:tc>
        <w:tc>
          <w:tcPr>
            <w:tcW w:w="1984" w:type="dxa"/>
            <w:vAlign w:val="bottom"/>
          </w:tcPr>
          <w:p w14:paraId="25FF0723" w14:textId="48AB74D7"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-1,2 %</w:t>
            </w:r>
          </w:p>
        </w:tc>
        <w:tc>
          <w:tcPr>
            <w:tcW w:w="1727" w:type="dxa"/>
            <w:vAlign w:val="bottom"/>
          </w:tcPr>
          <w:p w14:paraId="43C1838F" w14:textId="74AE4946" w:rsidR="00C5673A" w:rsidRP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5673A">
              <w:rPr>
                <w:rFonts w:ascii="Open Sans" w:hAnsi="Open Sans" w:cs="Open Sans"/>
                <w:b/>
                <w:color w:val="9C0006"/>
                <w:sz w:val="22"/>
                <w:szCs w:val="22"/>
              </w:rPr>
              <w:t>-4,9 %</w:t>
            </w:r>
          </w:p>
        </w:tc>
        <w:tc>
          <w:tcPr>
            <w:tcW w:w="1485" w:type="dxa"/>
            <w:vAlign w:val="bottom"/>
          </w:tcPr>
          <w:p w14:paraId="71E0E77A" w14:textId="5814AE1C" w:rsidR="00C5673A" w:rsidRDefault="00C5673A" w:rsidP="00C5673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1.220 €</w:t>
            </w:r>
          </w:p>
        </w:tc>
      </w:tr>
    </w:tbl>
    <w:p w14:paraId="401BF40F" w14:textId="5CB1C79A" w:rsidR="00C15353" w:rsidRDefault="00C15353" w:rsidP="00C15353">
      <w:pPr>
        <w:spacing w:line="276" w:lineRule="auto"/>
        <w:ind w:right="-574"/>
        <w:jc w:val="right"/>
        <w:rPr>
          <w:rFonts w:ascii="Open Sans Light" w:hAnsi="Open Sans Light" w:cs="Open Sans Light"/>
          <w:b/>
          <w:iCs/>
          <w:color w:val="303AB2"/>
          <w:szCs w:val="20"/>
          <w:lang w:val="es-ES"/>
        </w:rPr>
      </w:pPr>
    </w:p>
    <w:p w14:paraId="612D1320" w14:textId="26A5CAE1" w:rsidR="00356E76" w:rsidRPr="00125207" w:rsidRDefault="00356E76" w:rsidP="00356E76">
      <w:pPr>
        <w:pStyle w:val="NormalWeb"/>
        <w:shd w:val="clear" w:color="auto" w:fill="FFFFFF"/>
        <w:spacing w:line="276" w:lineRule="auto"/>
        <w:ind w:right="-574"/>
        <w:rPr>
          <w:rFonts w:ascii="Open Sans" w:hAnsi="Open Sans" w:cs="Open Sans"/>
          <w:color w:val="000000"/>
          <w:sz w:val="20"/>
          <w:szCs w:val="20"/>
        </w:rPr>
      </w:pPr>
      <w:r w:rsidRPr="00125207">
        <w:rPr>
          <w:rFonts w:ascii="Open Sans Light" w:hAnsi="Open Sans Light" w:cs="Open Sans Light"/>
          <w:b/>
          <w:iCs/>
          <w:color w:val="303AB2"/>
          <w:szCs w:val="18"/>
        </w:rPr>
        <w:t>Tabla 4: Distritos de Madrid de mayor a menor incremento semestral (dic.18 – jun.19)</w:t>
      </w:r>
    </w:p>
    <w:tbl>
      <w:tblPr>
        <w:tblStyle w:val="Tablaconcuadrcula5oscura-nfasis3"/>
        <w:tblW w:w="9019" w:type="dxa"/>
        <w:tblLook w:val="04A0" w:firstRow="1" w:lastRow="0" w:firstColumn="1" w:lastColumn="0" w:noHBand="0" w:noVBand="1"/>
      </w:tblPr>
      <w:tblGrid>
        <w:gridCol w:w="1979"/>
        <w:gridCol w:w="1982"/>
        <w:gridCol w:w="1846"/>
        <w:gridCol w:w="1727"/>
        <w:gridCol w:w="1485"/>
      </w:tblGrid>
      <w:tr w:rsidR="00356E76" w:rsidRPr="00C709E1" w14:paraId="3F7AA076" w14:textId="77777777" w:rsidTr="001F1FF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19439276" w14:textId="77777777" w:rsidR="00356E76" w:rsidRPr="00C709E1" w:rsidRDefault="00356E76" w:rsidP="001F1FFC">
            <w:pPr>
              <w:rPr>
                <w:rFonts w:ascii="Open Sans" w:hAnsi="Open Sans" w:cs="Open Sans"/>
                <w:b w:val="0"/>
                <w:bCs w:val="0"/>
                <w:sz w:val="22"/>
                <w:szCs w:val="22"/>
                <w:lang w:val="es-ES"/>
              </w:rPr>
            </w:pPr>
            <w:r w:rsidRPr="00C709E1">
              <w:rPr>
                <w:rFonts w:ascii="Open Sans" w:hAnsi="Open Sans" w:cs="Open Sans"/>
                <w:bCs w:val="0"/>
                <w:sz w:val="22"/>
                <w:szCs w:val="22"/>
                <w:lang w:val="es-ES"/>
              </w:rPr>
              <w:t>Distrito</w:t>
            </w:r>
          </w:p>
        </w:tc>
        <w:tc>
          <w:tcPr>
            <w:tcW w:w="1982" w:type="dxa"/>
            <w:shd w:val="clear" w:color="auto" w:fill="1DBDC5"/>
          </w:tcPr>
          <w:p w14:paraId="5056788E"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Variación</w:t>
            </w:r>
          </w:p>
          <w:p w14:paraId="205BC890"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trimestral (%)</w:t>
            </w:r>
          </w:p>
        </w:tc>
        <w:tc>
          <w:tcPr>
            <w:tcW w:w="1846" w:type="dxa"/>
            <w:shd w:val="clear" w:color="auto" w:fill="1DBDC5"/>
          </w:tcPr>
          <w:p w14:paraId="7C2A0224"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Variación</w:t>
            </w:r>
          </w:p>
          <w:p w14:paraId="72A12A5E"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semestral (%)</w:t>
            </w:r>
          </w:p>
        </w:tc>
        <w:tc>
          <w:tcPr>
            <w:tcW w:w="1727" w:type="dxa"/>
            <w:shd w:val="clear" w:color="auto" w:fill="1DBDC5"/>
          </w:tcPr>
          <w:p w14:paraId="2BE34BC4"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Variación</w:t>
            </w:r>
          </w:p>
          <w:p w14:paraId="49DE5C2B"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interanual (%)</w:t>
            </w:r>
          </w:p>
        </w:tc>
        <w:tc>
          <w:tcPr>
            <w:tcW w:w="1485" w:type="dxa"/>
            <w:shd w:val="clear" w:color="auto" w:fill="1DBDC5"/>
          </w:tcPr>
          <w:p w14:paraId="7282BFC6"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Junio 2019</w:t>
            </w:r>
          </w:p>
          <w:p w14:paraId="1D040D30" w14:textId="77777777" w:rsidR="00356E76" w:rsidRPr="00C709E1" w:rsidRDefault="00356E76"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709E1">
              <w:rPr>
                <w:rFonts w:ascii="Open Sans" w:hAnsi="Open Sans" w:cs="Open Sans"/>
                <w:bCs w:val="0"/>
                <w:sz w:val="22"/>
                <w:szCs w:val="22"/>
                <w:lang w:val="es-ES"/>
              </w:rPr>
              <w:t>(€/m²)</w:t>
            </w:r>
          </w:p>
        </w:tc>
      </w:tr>
      <w:tr w:rsidR="00356E76" w:rsidRPr="00C709E1" w14:paraId="5A70F938"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E6AA748"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Vicálvaro</w:t>
            </w:r>
          </w:p>
        </w:tc>
        <w:tc>
          <w:tcPr>
            <w:tcW w:w="1982" w:type="dxa"/>
            <w:vAlign w:val="bottom"/>
          </w:tcPr>
          <w:p w14:paraId="3CA05BE2"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3,7 %</w:t>
            </w:r>
          </w:p>
        </w:tc>
        <w:tc>
          <w:tcPr>
            <w:tcW w:w="1846" w:type="dxa"/>
            <w:vAlign w:val="bottom"/>
          </w:tcPr>
          <w:p w14:paraId="6EF1C810"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7,4 %</w:t>
            </w:r>
          </w:p>
        </w:tc>
        <w:tc>
          <w:tcPr>
            <w:tcW w:w="1727" w:type="dxa"/>
            <w:vAlign w:val="bottom"/>
          </w:tcPr>
          <w:p w14:paraId="4C94FB48"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9,2 %</w:t>
            </w:r>
          </w:p>
        </w:tc>
        <w:tc>
          <w:tcPr>
            <w:tcW w:w="1485" w:type="dxa"/>
            <w:vAlign w:val="bottom"/>
          </w:tcPr>
          <w:p w14:paraId="0A78E189"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2.414 €</w:t>
            </w:r>
          </w:p>
        </w:tc>
      </w:tr>
      <w:tr w:rsidR="00356E76" w:rsidRPr="00C709E1" w14:paraId="37573868"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B15B8E1"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Villa de Vallecas</w:t>
            </w:r>
          </w:p>
        </w:tc>
        <w:tc>
          <w:tcPr>
            <w:tcW w:w="1982" w:type="dxa"/>
            <w:vAlign w:val="bottom"/>
          </w:tcPr>
          <w:p w14:paraId="4B6259EB"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4,3 %</w:t>
            </w:r>
          </w:p>
        </w:tc>
        <w:tc>
          <w:tcPr>
            <w:tcW w:w="1846" w:type="dxa"/>
            <w:vAlign w:val="bottom"/>
          </w:tcPr>
          <w:p w14:paraId="17205F78"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6,8 %</w:t>
            </w:r>
          </w:p>
        </w:tc>
        <w:tc>
          <w:tcPr>
            <w:tcW w:w="1727" w:type="dxa"/>
            <w:vAlign w:val="bottom"/>
          </w:tcPr>
          <w:p w14:paraId="4FFB42ED"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8,6 %</w:t>
            </w:r>
          </w:p>
        </w:tc>
        <w:tc>
          <w:tcPr>
            <w:tcW w:w="1485" w:type="dxa"/>
            <w:vAlign w:val="bottom"/>
          </w:tcPr>
          <w:p w14:paraId="7543711C"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2.538 €</w:t>
            </w:r>
          </w:p>
        </w:tc>
      </w:tr>
      <w:tr w:rsidR="00356E76" w:rsidRPr="00C709E1" w14:paraId="3DF8F012"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81BC3BA"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Usera</w:t>
            </w:r>
          </w:p>
        </w:tc>
        <w:tc>
          <w:tcPr>
            <w:tcW w:w="1982" w:type="dxa"/>
            <w:vAlign w:val="bottom"/>
          </w:tcPr>
          <w:p w14:paraId="4C307728"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6,2 %</w:t>
            </w:r>
          </w:p>
        </w:tc>
        <w:tc>
          <w:tcPr>
            <w:tcW w:w="1846" w:type="dxa"/>
            <w:vAlign w:val="bottom"/>
          </w:tcPr>
          <w:p w14:paraId="7A582965"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5,8 %</w:t>
            </w:r>
          </w:p>
        </w:tc>
        <w:tc>
          <w:tcPr>
            <w:tcW w:w="1727" w:type="dxa"/>
            <w:vAlign w:val="bottom"/>
          </w:tcPr>
          <w:p w14:paraId="23390F2A"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11,3 %</w:t>
            </w:r>
          </w:p>
        </w:tc>
        <w:tc>
          <w:tcPr>
            <w:tcW w:w="1485" w:type="dxa"/>
            <w:vAlign w:val="bottom"/>
          </w:tcPr>
          <w:p w14:paraId="5F078151"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2.263 €</w:t>
            </w:r>
          </w:p>
        </w:tc>
      </w:tr>
      <w:tr w:rsidR="00356E76" w:rsidRPr="00C709E1" w14:paraId="686205D5"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21EAEBF"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Barajas</w:t>
            </w:r>
          </w:p>
        </w:tc>
        <w:tc>
          <w:tcPr>
            <w:tcW w:w="1982" w:type="dxa"/>
            <w:vAlign w:val="bottom"/>
          </w:tcPr>
          <w:p w14:paraId="3E227E73"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2,1 %</w:t>
            </w:r>
          </w:p>
        </w:tc>
        <w:tc>
          <w:tcPr>
            <w:tcW w:w="1846" w:type="dxa"/>
            <w:vAlign w:val="bottom"/>
          </w:tcPr>
          <w:p w14:paraId="4C59C9EF"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5,7 %</w:t>
            </w:r>
          </w:p>
        </w:tc>
        <w:tc>
          <w:tcPr>
            <w:tcW w:w="1727" w:type="dxa"/>
            <w:vAlign w:val="bottom"/>
          </w:tcPr>
          <w:p w14:paraId="2BA4AC98"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15,1 %</w:t>
            </w:r>
          </w:p>
        </w:tc>
        <w:tc>
          <w:tcPr>
            <w:tcW w:w="1485" w:type="dxa"/>
            <w:vAlign w:val="bottom"/>
          </w:tcPr>
          <w:p w14:paraId="677E03BB"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3.516 €</w:t>
            </w:r>
          </w:p>
        </w:tc>
      </w:tr>
      <w:tr w:rsidR="00356E76" w:rsidRPr="00C709E1" w14:paraId="160DE0A1"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386A19C"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Ciudad Lineal</w:t>
            </w:r>
          </w:p>
        </w:tc>
        <w:tc>
          <w:tcPr>
            <w:tcW w:w="1982" w:type="dxa"/>
            <w:vAlign w:val="bottom"/>
          </w:tcPr>
          <w:p w14:paraId="2EF2A05C"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2,7 %</w:t>
            </w:r>
          </w:p>
        </w:tc>
        <w:tc>
          <w:tcPr>
            <w:tcW w:w="1846" w:type="dxa"/>
            <w:vAlign w:val="bottom"/>
          </w:tcPr>
          <w:p w14:paraId="2CFEB63A"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5,5 %</w:t>
            </w:r>
          </w:p>
        </w:tc>
        <w:tc>
          <w:tcPr>
            <w:tcW w:w="1727" w:type="dxa"/>
            <w:vAlign w:val="bottom"/>
          </w:tcPr>
          <w:p w14:paraId="42A18984"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10,0 %</w:t>
            </w:r>
          </w:p>
        </w:tc>
        <w:tc>
          <w:tcPr>
            <w:tcW w:w="1485" w:type="dxa"/>
            <w:vAlign w:val="bottom"/>
          </w:tcPr>
          <w:p w14:paraId="4A255A81"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3.240 €</w:t>
            </w:r>
          </w:p>
        </w:tc>
      </w:tr>
      <w:tr w:rsidR="00356E76" w:rsidRPr="00C709E1" w14:paraId="4C2F79AC"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D6F4B31"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Retiro</w:t>
            </w:r>
          </w:p>
        </w:tc>
        <w:tc>
          <w:tcPr>
            <w:tcW w:w="1982" w:type="dxa"/>
            <w:vAlign w:val="bottom"/>
          </w:tcPr>
          <w:p w14:paraId="21A47450"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2,2 %</w:t>
            </w:r>
          </w:p>
        </w:tc>
        <w:tc>
          <w:tcPr>
            <w:tcW w:w="1846" w:type="dxa"/>
            <w:vAlign w:val="bottom"/>
          </w:tcPr>
          <w:p w14:paraId="3D0EEEEA"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4,4 %</w:t>
            </w:r>
          </w:p>
        </w:tc>
        <w:tc>
          <w:tcPr>
            <w:tcW w:w="1727" w:type="dxa"/>
            <w:vAlign w:val="bottom"/>
          </w:tcPr>
          <w:p w14:paraId="00F05649"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3,3 %</w:t>
            </w:r>
          </w:p>
        </w:tc>
        <w:tc>
          <w:tcPr>
            <w:tcW w:w="1485" w:type="dxa"/>
            <w:vAlign w:val="bottom"/>
          </w:tcPr>
          <w:p w14:paraId="1F2AE8B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4.963 €</w:t>
            </w:r>
          </w:p>
        </w:tc>
      </w:tr>
      <w:tr w:rsidR="00356E76" w:rsidRPr="00C709E1" w14:paraId="4AD6BD4D"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545B86C0"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Moratalaz</w:t>
            </w:r>
          </w:p>
        </w:tc>
        <w:tc>
          <w:tcPr>
            <w:tcW w:w="1982" w:type="dxa"/>
            <w:vAlign w:val="bottom"/>
          </w:tcPr>
          <w:p w14:paraId="564D4C04"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4,1 %</w:t>
            </w:r>
          </w:p>
        </w:tc>
        <w:tc>
          <w:tcPr>
            <w:tcW w:w="1846" w:type="dxa"/>
            <w:vAlign w:val="bottom"/>
          </w:tcPr>
          <w:p w14:paraId="6E6A0E3E"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4,3 %</w:t>
            </w:r>
          </w:p>
        </w:tc>
        <w:tc>
          <w:tcPr>
            <w:tcW w:w="1727" w:type="dxa"/>
            <w:vAlign w:val="bottom"/>
          </w:tcPr>
          <w:p w14:paraId="75B143BA"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7,4 %</w:t>
            </w:r>
          </w:p>
        </w:tc>
        <w:tc>
          <w:tcPr>
            <w:tcW w:w="1485" w:type="dxa"/>
            <w:vAlign w:val="bottom"/>
          </w:tcPr>
          <w:p w14:paraId="2C80234B"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2.637 €</w:t>
            </w:r>
          </w:p>
        </w:tc>
      </w:tr>
      <w:tr w:rsidR="00356E76" w:rsidRPr="00C709E1" w14:paraId="6984E5CB"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B2910A2"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Puente de Vallecas</w:t>
            </w:r>
          </w:p>
        </w:tc>
        <w:tc>
          <w:tcPr>
            <w:tcW w:w="1982" w:type="dxa"/>
            <w:vAlign w:val="bottom"/>
          </w:tcPr>
          <w:p w14:paraId="616FF2A3"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3,0 %</w:t>
            </w:r>
          </w:p>
        </w:tc>
        <w:tc>
          <w:tcPr>
            <w:tcW w:w="1846" w:type="dxa"/>
            <w:vAlign w:val="bottom"/>
          </w:tcPr>
          <w:p w14:paraId="1EBC449D"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3,9 %</w:t>
            </w:r>
          </w:p>
        </w:tc>
        <w:tc>
          <w:tcPr>
            <w:tcW w:w="1727" w:type="dxa"/>
            <w:vAlign w:val="bottom"/>
          </w:tcPr>
          <w:p w14:paraId="37A0F601"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7,9 %</w:t>
            </w:r>
          </w:p>
        </w:tc>
        <w:tc>
          <w:tcPr>
            <w:tcW w:w="1485" w:type="dxa"/>
            <w:vAlign w:val="bottom"/>
          </w:tcPr>
          <w:p w14:paraId="350A5C55"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1.996 €</w:t>
            </w:r>
          </w:p>
        </w:tc>
      </w:tr>
      <w:tr w:rsidR="00356E76" w:rsidRPr="00C709E1" w14:paraId="00541099"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A709070"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San Blas</w:t>
            </w:r>
          </w:p>
        </w:tc>
        <w:tc>
          <w:tcPr>
            <w:tcW w:w="1982" w:type="dxa"/>
            <w:vAlign w:val="bottom"/>
          </w:tcPr>
          <w:p w14:paraId="3B61DD8C"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2,7 %</w:t>
            </w:r>
          </w:p>
        </w:tc>
        <w:tc>
          <w:tcPr>
            <w:tcW w:w="1846" w:type="dxa"/>
            <w:vAlign w:val="bottom"/>
          </w:tcPr>
          <w:p w14:paraId="347D1AED"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3,7 %</w:t>
            </w:r>
          </w:p>
        </w:tc>
        <w:tc>
          <w:tcPr>
            <w:tcW w:w="1727" w:type="dxa"/>
            <w:vAlign w:val="bottom"/>
          </w:tcPr>
          <w:p w14:paraId="3E7ED27C"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8,4 %</w:t>
            </w:r>
          </w:p>
        </w:tc>
        <w:tc>
          <w:tcPr>
            <w:tcW w:w="1485" w:type="dxa"/>
            <w:vAlign w:val="bottom"/>
          </w:tcPr>
          <w:p w14:paraId="225DB777"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2.687 €</w:t>
            </w:r>
          </w:p>
        </w:tc>
      </w:tr>
      <w:tr w:rsidR="00356E76" w:rsidRPr="00C709E1" w14:paraId="4EB32ECA"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40D722F"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Fuencarral</w:t>
            </w:r>
          </w:p>
        </w:tc>
        <w:tc>
          <w:tcPr>
            <w:tcW w:w="1982" w:type="dxa"/>
            <w:vAlign w:val="bottom"/>
          </w:tcPr>
          <w:p w14:paraId="02E23C30"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0,6 %</w:t>
            </w:r>
          </w:p>
        </w:tc>
        <w:tc>
          <w:tcPr>
            <w:tcW w:w="1846" w:type="dxa"/>
            <w:vAlign w:val="bottom"/>
          </w:tcPr>
          <w:p w14:paraId="3C2BA766"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3,7 %</w:t>
            </w:r>
          </w:p>
        </w:tc>
        <w:tc>
          <w:tcPr>
            <w:tcW w:w="1727" w:type="dxa"/>
            <w:vAlign w:val="bottom"/>
          </w:tcPr>
          <w:p w14:paraId="71C1C31B"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5,4 %</w:t>
            </w:r>
          </w:p>
        </w:tc>
        <w:tc>
          <w:tcPr>
            <w:tcW w:w="1485" w:type="dxa"/>
            <w:vAlign w:val="bottom"/>
          </w:tcPr>
          <w:p w14:paraId="3166C57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3.578 €</w:t>
            </w:r>
          </w:p>
        </w:tc>
      </w:tr>
      <w:tr w:rsidR="00356E76" w:rsidRPr="00C709E1" w14:paraId="18E3561B"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B16E82E"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Villaverde</w:t>
            </w:r>
          </w:p>
        </w:tc>
        <w:tc>
          <w:tcPr>
            <w:tcW w:w="1982" w:type="dxa"/>
            <w:vAlign w:val="bottom"/>
          </w:tcPr>
          <w:p w14:paraId="48D5FCA9"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1,6 %</w:t>
            </w:r>
          </w:p>
        </w:tc>
        <w:tc>
          <w:tcPr>
            <w:tcW w:w="1846" w:type="dxa"/>
            <w:vAlign w:val="bottom"/>
          </w:tcPr>
          <w:p w14:paraId="544AB1F7"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3,5 %</w:t>
            </w:r>
          </w:p>
        </w:tc>
        <w:tc>
          <w:tcPr>
            <w:tcW w:w="1727" w:type="dxa"/>
            <w:vAlign w:val="bottom"/>
          </w:tcPr>
          <w:p w14:paraId="509A3103"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5,4 %</w:t>
            </w:r>
          </w:p>
        </w:tc>
        <w:tc>
          <w:tcPr>
            <w:tcW w:w="1485" w:type="dxa"/>
            <w:vAlign w:val="bottom"/>
          </w:tcPr>
          <w:p w14:paraId="46572997"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1.837 €</w:t>
            </w:r>
          </w:p>
        </w:tc>
      </w:tr>
      <w:tr w:rsidR="00356E76" w:rsidRPr="00C709E1" w14:paraId="5CE1ECDB"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46B11E3"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Centro</w:t>
            </w:r>
          </w:p>
        </w:tc>
        <w:tc>
          <w:tcPr>
            <w:tcW w:w="1982" w:type="dxa"/>
            <w:vAlign w:val="bottom"/>
          </w:tcPr>
          <w:p w14:paraId="7A9A27A0"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0,2 %</w:t>
            </w:r>
          </w:p>
        </w:tc>
        <w:tc>
          <w:tcPr>
            <w:tcW w:w="1846" w:type="dxa"/>
            <w:vAlign w:val="bottom"/>
          </w:tcPr>
          <w:p w14:paraId="06EF1020"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3,2 %</w:t>
            </w:r>
          </w:p>
        </w:tc>
        <w:tc>
          <w:tcPr>
            <w:tcW w:w="1727" w:type="dxa"/>
            <w:vAlign w:val="bottom"/>
          </w:tcPr>
          <w:p w14:paraId="1C4A5DCA"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4,3 %</w:t>
            </w:r>
          </w:p>
        </w:tc>
        <w:tc>
          <w:tcPr>
            <w:tcW w:w="1485" w:type="dxa"/>
            <w:vAlign w:val="bottom"/>
          </w:tcPr>
          <w:p w14:paraId="6BFCD0C4"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5.265 €</w:t>
            </w:r>
          </w:p>
        </w:tc>
      </w:tr>
      <w:tr w:rsidR="00356E76" w:rsidRPr="00C709E1" w14:paraId="0114A710"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2487EEC"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Arganzuela</w:t>
            </w:r>
          </w:p>
        </w:tc>
        <w:tc>
          <w:tcPr>
            <w:tcW w:w="1982" w:type="dxa"/>
            <w:vAlign w:val="bottom"/>
          </w:tcPr>
          <w:p w14:paraId="123A1D1F"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0,2 %</w:t>
            </w:r>
          </w:p>
        </w:tc>
        <w:tc>
          <w:tcPr>
            <w:tcW w:w="1846" w:type="dxa"/>
            <w:vAlign w:val="bottom"/>
          </w:tcPr>
          <w:p w14:paraId="5A7BEBA0"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2,3 %</w:t>
            </w:r>
          </w:p>
        </w:tc>
        <w:tc>
          <w:tcPr>
            <w:tcW w:w="1727" w:type="dxa"/>
            <w:vAlign w:val="bottom"/>
          </w:tcPr>
          <w:p w14:paraId="5F0B5042"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6,3 %</w:t>
            </w:r>
          </w:p>
        </w:tc>
        <w:tc>
          <w:tcPr>
            <w:tcW w:w="1485" w:type="dxa"/>
            <w:vAlign w:val="bottom"/>
          </w:tcPr>
          <w:p w14:paraId="5012ECD6"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4.267 €</w:t>
            </w:r>
          </w:p>
        </w:tc>
      </w:tr>
      <w:tr w:rsidR="00356E76" w:rsidRPr="00C709E1" w14:paraId="6F3D97C9"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059B1B6"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Carabanchel</w:t>
            </w:r>
          </w:p>
        </w:tc>
        <w:tc>
          <w:tcPr>
            <w:tcW w:w="1982" w:type="dxa"/>
            <w:vAlign w:val="bottom"/>
          </w:tcPr>
          <w:p w14:paraId="5C033CA1"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-2,2 %</w:t>
            </w:r>
          </w:p>
        </w:tc>
        <w:tc>
          <w:tcPr>
            <w:tcW w:w="1846" w:type="dxa"/>
            <w:vAlign w:val="bottom"/>
          </w:tcPr>
          <w:p w14:paraId="0339C399"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1,8 %</w:t>
            </w:r>
          </w:p>
        </w:tc>
        <w:tc>
          <w:tcPr>
            <w:tcW w:w="1727" w:type="dxa"/>
            <w:vAlign w:val="bottom"/>
          </w:tcPr>
          <w:p w14:paraId="5A116AF2"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5,3 %</w:t>
            </w:r>
          </w:p>
        </w:tc>
        <w:tc>
          <w:tcPr>
            <w:tcW w:w="1485" w:type="dxa"/>
            <w:vAlign w:val="bottom"/>
          </w:tcPr>
          <w:p w14:paraId="69409FC1"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2.240 €</w:t>
            </w:r>
          </w:p>
        </w:tc>
      </w:tr>
      <w:tr w:rsidR="00356E76" w:rsidRPr="00C709E1" w14:paraId="50EF2687"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8F4F0B5"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Chamberí</w:t>
            </w:r>
          </w:p>
        </w:tc>
        <w:tc>
          <w:tcPr>
            <w:tcW w:w="1982" w:type="dxa"/>
            <w:vAlign w:val="bottom"/>
          </w:tcPr>
          <w:p w14:paraId="57C31ECD"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0,4 %</w:t>
            </w:r>
          </w:p>
        </w:tc>
        <w:tc>
          <w:tcPr>
            <w:tcW w:w="1846" w:type="dxa"/>
            <w:vAlign w:val="bottom"/>
          </w:tcPr>
          <w:p w14:paraId="73819083"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1,6 %</w:t>
            </w:r>
          </w:p>
        </w:tc>
        <w:tc>
          <w:tcPr>
            <w:tcW w:w="1727" w:type="dxa"/>
            <w:vAlign w:val="bottom"/>
          </w:tcPr>
          <w:p w14:paraId="4C91DCF6"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4,3 %</w:t>
            </w:r>
          </w:p>
        </w:tc>
        <w:tc>
          <w:tcPr>
            <w:tcW w:w="1485" w:type="dxa"/>
            <w:vAlign w:val="bottom"/>
          </w:tcPr>
          <w:p w14:paraId="12D6AE73"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5.468 €</w:t>
            </w:r>
          </w:p>
        </w:tc>
      </w:tr>
      <w:tr w:rsidR="00356E76" w:rsidRPr="00C709E1" w14:paraId="1CAD877E"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1A5DE17"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Hortaleza</w:t>
            </w:r>
          </w:p>
        </w:tc>
        <w:tc>
          <w:tcPr>
            <w:tcW w:w="1982" w:type="dxa"/>
            <w:vAlign w:val="bottom"/>
          </w:tcPr>
          <w:p w14:paraId="5345D20D"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-1,1 %</w:t>
            </w:r>
          </w:p>
        </w:tc>
        <w:tc>
          <w:tcPr>
            <w:tcW w:w="1846" w:type="dxa"/>
            <w:vAlign w:val="bottom"/>
          </w:tcPr>
          <w:p w14:paraId="38981152"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1,2 %</w:t>
            </w:r>
          </w:p>
        </w:tc>
        <w:tc>
          <w:tcPr>
            <w:tcW w:w="1727" w:type="dxa"/>
            <w:vAlign w:val="bottom"/>
          </w:tcPr>
          <w:p w14:paraId="3CDD3880"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4,6 %</w:t>
            </w:r>
          </w:p>
        </w:tc>
        <w:tc>
          <w:tcPr>
            <w:tcW w:w="1485" w:type="dxa"/>
            <w:vAlign w:val="bottom"/>
          </w:tcPr>
          <w:p w14:paraId="0DCD6BC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3.765 €</w:t>
            </w:r>
          </w:p>
        </w:tc>
      </w:tr>
      <w:tr w:rsidR="00356E76" w:rsidRPr="00C709E1" w14:paraId="56D4BF13"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833B574"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Tetuán</w:t>
            </w:r>
          </w:p>
        </w:tc>
        <w:tc>
          <w:tcPr>
            <w:tcW w:w="1982" w:type="dxa"/>
            <w:vAlign w:val="bottom"/>
          </w:tcPr>
          <w:p w14:paraId="02C50454"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-0,6 %</w:t>
            </w:r>
          </w:p>
        </w:tc>
        <w:tc>
          <w:tcPr>
            <w:tcW w:w="1846" w:type="dxa"/>
            <w:vAlign w:val="bottom"/>
          </w:tcPr>
          <w:p w14:paraId="5B43AE2E"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0,2 %</w:t>
            </w:r>
          </w:p>
        </w:tc>
        <w:tc>
          <w:tcPr>
            <w:tcW w:w="1727" w:type="dxa"/>
            <w:vAlign w:val="bottom"/>
          </w:tcPr>
          <w:p w14:paraId="4E7E063C"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5,8 %</w:t>
            </w:r>
          </w:p>
        </w:tc>
        <w:tc>
          <w:tcPr>
            <w:tcW w:w="1485" w:type="dxa"/>
            <w:vAlign w:val="bottom"/>
          </w:tcPr>
          <w:p w14:paraId="53C20F60"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3.813 €</w:t>
            </w:r>
          </w:p>
        </w:tc>
      </w:tr>
      <w:tr w:rsidR="00356E76" w:rsidRPr="00C709E1" w14:paraId="230DC0C8"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3AB316A4"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Salamanca</w:t>
            </w:r>
          </w:p>
        </w:tc>
        <w:tc>
          <w:tcPr>
            <w:tcW w:w="1982" w:type="dxa"/>
            <w:vAlign w:val="bottom"/>
          </w:tcPr>
          <w:p w14:paraId="03786A26"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-0,5 %</w:t>
            </w:r>
          </w:p>
        </w:tc>
        <w:tc>
          <w:tcPr>
            <w:tcW w:w="1846" w:type="dxa"/>
            <w:vAlign w:val="bottom"/>
          </w:tcPr>
          <w:p w14:paraId="3D8CDBB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-0,1 %</w:t>
            </w:r>
          </w:p>
        </w:tc>
        <w:tc>
          <w:tcPr>
            <w:tcW w:w="1727" w:type="dxa"/>
            <w:vAlign w:val="bottom"/>
          </w:tcPr>
          <w:p w14:paraId="5FD6DAB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4,1 %</w:t>
            </w:r>
          </w:p>
        </w:tc>
        <w:tc>
          <w:tcPr>
            <w:tcW w:w="1485" w:type="dxa"/>
            <w:vAlign w:val="bottom"/>
          </w:tcPr>
          <w:p w14:paraId="5092993E"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6.144 €</w:t>
            </w:r>
          </w:p>
        </w:tc>
      </w:tr>
      <w:tr w:rsidR="00356E76" w:rsidRPr="00C709E1" w14:paraId="411D019E"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1A989A7"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Moncloa</w:t>
            </w:r>
          </w:p>
        </w:tc>
        <w:tc>
          <w:tcPr>
            <w:tcW w:w="1982" w:type="dxa"/>
            <w:vAlign w:val="bottom"/>
          </w:tcPr>
          <w:p w14:paraId="4012B312"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-1,9 %</w:t>
            </w:r>
          </w:p>
        </w:tc>
        <w:tc>
          <w:tcPr>
            <w:tcW w:w="1846" w:type="dxa"/>
            <w:vAlign w:val="bottom"/>
          </w:tcPr>
          <w:p w14:paraId="286C867E"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-0,4 %</w:t>
            </w:r>
          </w:p>
        </w:tc>
        <w:tc>
          <w:tcPr>
            <w:tcW w:w="1727" w:type="dxa"/>
            <w:vAlign w:val="bottom"/>
          </w:tcPr>
          <w:p w14:paraId="66705827"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0,9 %</w:t>
            </w:r>
          </w:p>
        </w:tc>
        <w:tc>
          <w:tcPr>
            <w:tcW w:w="1485" w:type="dxa"/>
            <w:vAlign w:val="bottom"/>
          </w:tcPr>
          <w:p w14:paraId="7EF2BBD6"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4.328 €</w:t>
            </w:r>
          </w:p>
        </w:tc>
      </w:tr>
      <w:tr w:rsidR="00356E76" w:rsidRPr="00C709E1" w14:paraId="41E18CE2"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0D3F46D"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Latina</w:t>
            </w:r>
          </w:p>
        </w:tc>
        <w:tc>
          <w:tcPr>
            <w:tcW w:w="1982" w:type="dxa"/>
            <w:vAlign w:val="bottom"/>
          </w:tcPr>
          <w:p w14:paraId="2E54ADE6"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-0,3 %</w:t>
            </w:r>
          </w:p>
        </w:tc>
        <w:tc>
          <w:tcPr>
            <w:tcW w:w="1846" w:type="dxa"/>
            <w:vAlign w:val="bottom"/>
          </w:tcPr>
          <w:p w14:paraId="01A02228"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-0,7 %</w:t>
            </w:r>
          </w:p>
        </w:tc>
        <w:tc>
          <w:tcPr>
            <w:tcW w:w="1727" w:type="dxa"/>
            <w:vAlign w:val="bottom"/>
          </w:tcPr>
          <w:p w14:paraId="774B0496"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000000"/>
                <w:sz w:val="22"/>
                <w:szCs w:val="22"/>
              </w:rPr>
              <w:t>6,0 %</w:t>
            </w:r>
          </w:p>
        </w:tc>
        <w:tc>
          <w:tcPr>
            <w:tcW w:w="1485" w:type="dxa"/>
            <w:vAlign w:val="bottom"/>
          </w:tcPr>
          <w:p w14:paraId="13FBE735" w14:textId="77777777" w:rsidR="00356E76" w:rsidRPr="00C709E1" w:rsidRDefault="00356E76"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2.421 €</w:t>
            </w:r>
          </w:p>
        </w:tc>
      </w:tr>
      <w:tr w:rsidR="00356E76" w:rsidRPr="00C709E1" w14:paraId="4AB47BA3"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4E68F86" w14:textId="77777777" w:rsidR="00356E76" w:rsidRPr="00C709E1" w:rsidRDefault="00356E76" w:rsidP="001F1FFC">
            <w:pPr>
              <w:rPr>
                <w:rFonts w:ascii="Open Sans" w:hAnsi="Open Sans" w:cs="Open Sans"/>
                <w:b w:val="0"/>
                <w:bCs w:val="0"/>
                <w:sz w:val="22"/>
                <w:szCs w:val="22"/>
              </w:rPr>
            </w:pPr>
            <w:r w:rsidRPr="00C709E1">
              <w:rPr>
                <w:rFonts w:ascii="Open Sans" w:hAnsi="Open Sans" w:cs="Open Sans"/>
                <w:b w:val="0"/>
                <w:bCs w:val="0"/>
                <w:sz w:val="22"/>
                <w:szCs w:val="22"/>
              </w:rPr>
              <w:t>Chamartín</w:t>
            </w:r>
          </w:p>
        </w:tc>
        <w:tc>
          <w:tcPr>
            <w:tcW w:w="1982" w:type="dxa"/>
            <w:vAlign w:val="bottom"/>
          </w:tcPr>
          <w:p w14:paraId="1C1CBDDB"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-1,6 %</w:t>
            </w:r>
          </w:p>
        </w:tc>
        <w:tc>
          <w:tcPr>
            <w:tcW w:w="1846" w:type="dxa"/>
            <w:vAlign w:val="bottom"/>
          </w:tcPr>
          <w:p w14:paraId="15AC3A8D"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9C0006"/>
                <w:sz w:val="22"/>
                <w:szCs w:val="22"/>
              </w:rPr>
              <w:t>-4,9 %</w:t>
            </w:r>
          </w:p>
        </w:tc>
        <w:tc>
          <w:tcPr>
            <w:tcW w:w="1727" w:type="dxa"/>
            <w:vAlign w:val="bottom"/>
          </w:tcPr>
          <w:p w14:paraId="0B4EEB59"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C709E1">
              <w:rPr>
                <w:rFonts w:ascii="Open Sans" w:hAnsi="Open Sans" w:cs="Open Sans"/>
                <w:b/>
                <w:color w:val="9C0006"/>
                <w:sz w:val="22"/>
                <w:szCs w:val="22"/>
              </w:rPr>
              <w:t>-0,3 %</w:t>
            </w:r>
          </w:p>
        </w:tc>
        <w:tc>
          <w:tcPr>
            <w:tcW w:w="1485" w:type="dxa"/>
            <w:vAlign w:val="bottom"/>
          </w:tcPr>
          <w:p w14:paraId="6DA76AAE" w14:textId="77777777" w:rsidR="00356E76" w:rsidRPr="00C709E1" w:rsidRDefault="00356E76"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709E1">
              <w:rPr>
                <w:rFonts w:ascii="Open Sans" w:hAnsi="Open Sans" w:cs="Open Sans"/>
                <w:color w:val="000000"/>
                <w:sz w:val="22"/>
                <w:szCs w:val="22"/>
              </w:rPr>
              <w:t>5.003 €</w:t>
            </w:r>
          </w:p>
        </w:tc>
      </w:tr>
    </w:tbl>
    <w:p w14:paraId="2B434BAB" w14:textId="15AD17ED" w:rsidR="007521EA" w:rsidRDefault="007521EA" w:rsidP="00C15353">
      <w:pPr>
        <w:spacing w:line="276" w:lineRule="auto"/>
        <w:ind w:right="-574"/>
        <w:jc w:val="right"/>
        <w:rPr>
          <w:rFonts w:ascii="Open Sans Light" w:hAnsi="Open Sans Light" w:cs="Open Sans Light"/>
          <w:b/>
          <w:iCs/>
          <w:color w:val="303AB2"/>
          <w:szCs w:val="20"/>
          <w:lang w:val="es-ES"/>
        </w:rPr>
      </w:pPr>
    </w:p>
    <w:p w14:paraId="1EC67FA4" w14:textId="2F43901A" w:rsidR="003551A5" w:rsidRPr="00125207" w:rsidRDefault="003551A5" w:rsidP="003551A5">
      <w:pPr>
        <w:pStyle w:val="NormalWeb"/>
        <w:shd w:val="clear" w:color="auto" w:fill="FFFFFF"/>
        <w:spacing w:line="276" w:lineRule="auto"/>
        <w:ind w:right="-574"/>
        <w:rPr>
          <w:rFonts w:ascii="Open Sans" w:hAnsi="Open Sans" w:cs="Open Sans"/>
          <w:color w:val="000000"/>
          <w:sz w:val="20"/>
          <w:szCs w:val="20"/>
        </w:rPr>
      </w:pPr>
      <w:r w:rsidRPr="00125207">
        <w:rPr>
          <w:rFonts w:ascii="Open Sans Light" w:hAnsi="Open Sans Light" w:cs="Open Sans Light"/>
          <w:b/>
          <w:iCs/>
          <w:color w:val="303AB2"/>
          <w:szCs w:val="18"/>
        </w:rPr>
        <w:lastRenderedPageBreak/>
        <w:t>Tabla 5: Distritos de mayor a menor incremento semestral (dic.18 – jun.19)</w:t>
      </w:r>
    </w:p>
    <w:tbl>
      <w:tblPr>
        <w:tblStyle w:val="Tablaconcuadrcula5oscura-nfasis3"/>
        <w:tblW w:w="9019" w:type="dxa"/>
        <w:tblLook w:val="04A0" w:firstRow="1" w:lastRow="0" w:firstColumn="1" w:lastColumn="0" w:noHBand="0" w:noVBand="1"/>
      </w:tblPr>
      <w:tblGrid>
        <w:gridCol w:w="1979"/>
        <w:gridCol w:w="1982"/>
        <w:gridCol w:w="1846"/>
        <w:gridCol w:w="1727"/>
        <w:gridCol w:w="1485"/>
      </w:tblGrid>
      <w:tr w:rsidR="003551A5" w:rsidRPr="00CB2474" w14:paraId="3FCB54E3" w14:textId="77777777" w:rsidTr="001F1FF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tcPr>
          <w:p w14:paraId="401B7F55" w14:textId="77777777" w:rsidR="003551A5" w:rsidRPr="00CB2474" w:rsidRDefault="003551A5" w:rsidP="001F1FFC">
            <w:pPr>
              <w:rPr>
                <w:rFonts w:ascii="Open Sans" w:hAnsi="Open Sans" w:cs="Open Sans"/>
                <w:b w:val="0"/>
                <w:bCs w:val="0"/>
                <w:sz w:val="22"/>
                <w:szCs w:val="22"/>
                <w:lang w:val="es-ES"/>
              </w:rPr>
            </w:pPr>
            <w:r w:rsidRPr="00CB2474">
              <w:rPr>
                <w:rFonts w:ascii="Open Sans" w:hAnsi="Open Sans" w:cs="Open Sans"/>
                <w:bCs w:val="0"/>
                <w:sz w:val="22"/>
                <w:szCs w:val="22"/>
                <w:lang w:val="es-ES"/>
              </w:rPr>
              <w:t>Provincia</w:t>
            </w:r>
          </w:p>
        </w:tc>
        <w:tc>
          <w:tcPr>
            <w:tcW w:w="1982" w:type="dxa"/>
            <w:shd w:val="clear" w:color="auto" w:fill="1DBDC5"/>
          </w:tcPr>
          <w:p w14:paraId="79F0C807" w14:textId="77777777" w:rsidR="003551A5" w:rsidRPr="00CB2474"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B2474">
              <w:rPr>
                <w:rFonts w:ascii="Open Sans" w:hAnsi="Open Sans" w:cs="Open Sans"/>
                <w:bCs w:val="0"/>
                <w:sz w:val="22"/>
                <w:szCs w:val="22"/>
                <w:lang w:val="es-ES"/>
              </w:rPr>
              <w:t>Variación</w:t>
            </w:r>
          </w:p>
          <w:p w14:paraId="2536A0D1" w14:textId="77777777" w:rsidR="003551A5" w:rsidRPr="00CB2474"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B2474">
              <w:rPr>
                <w:rFonts w:ascii="Open Sans" w:hAnsi="Open Sans" w:cs="Open Sans"/>
                <w:bCs w:val="0"/>
                <w:sz w:val="22"/>
                <w:szCs w:val="22"/>
                <w:lang w:val="es-ES"/>
              </w:rPr>
              <w:t>trimestral (%)</w:t>
            </w:r>
          </w:p>
        </w:tc>
        <w:tc>
          <w:tcPr>
            <w:tcW w:w="1846" w:type="dxa"/>
            <w:shd w:val="clear" w:color="auto" w:fill="1DBDC5"/>
          </w:tcPr>
          <w:p w14:paraId="3BC43789" w14:textId="77777777" w:rsidR="003551A5" w:rsidRPr="00834950"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34950">
              <w:rPr>
                <w:rFonts w:ascii="Open Sans" w:hAnsi="Open Sans" w:cs="Open Sans"/>
                <w:bCs w:val="0"/>
                <w:sz w:val="22"/>
                <w:szCs w:val="22"/>
                <w:lang w:val="es-ES"/>
              </w:rPr>
              <w:t>Variación</w:t>
            </w:r>
          </w:p>
          <w:p w14:paraId="719352CA" w14:textId="77777777" w:rsidR="003551A5" w:rsidRPr="00CB2474"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834950">
              <w:rPr>
                <w:rFonts w:ascii="Open Sans" w:hAnsi="Open Sans" w:cs="Open Sans"/>
                <w:bCs w:val="0"/>
                <w:sz w:val="22"/>
                <w:szCs w:val="22"/>
                <w:lang w:val="es-ES"/>
              </w:rPr>
              <w:t>semestral (%)</w:t>
            </w:r>
          </w:p>
        </w:tc>
        <w:tc>
          <w:tcPr>
            <w:tcW w:w="1727" w:type="dxa"/>
            <w:shd w:val="clear" w:color="auto" w:fill="1DBDC5"/>
          </w:tcPr>
          <w:p w14:paraId="3BDC0F49" w14:textId="77777777" w:rsidR="003551A5" w:rsidRPr="003E6BCA"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3E6BCA">
              <w:rPr>
                <w:rFonts w:ascii="Open Sans" w:hAnsi="Open Sans" w:cs="Open Sans"/>
                <w:bCs w:val="0"/>
                <w:sz w:val="22"/>
                <w:szCs w:val="22"/>
                <w:lang w:val="es-ES"/>
              </w:rPr>
              <w:t>Variación</w:t>
            </w:r>
          </w:p>
          <w:p w14:paraId="04433FC3" w14:textId="77777777" w:rsidR="003551A5" w:rsidRPr="003E6BCA"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3E6BCA">
              <w:rPr>
                <w:rFonts w:ascii="Open Sans" w:hAnsi="Open Sans" w:cs="Open Sans"/>
                <w:bCs w:val="0"/>
                <w:sz w:val="22"/>
                <w:szCs w:val="22"/>
                <w:lang w:val="es-ES"/>
              </w:rPr>
              <w:t>interanual (%)</w:t>
            </w:r>
          </w:p>
        </w:tc>
        <w:tc>
          <w:tcPr>
            <w:tcW w:w="1485" w:type="dxa"/>
            <w:shd w:val="clear" w:color="auto" w:fill="1DBDC5"/>
          </w:tcPr>
          <w:p w14:paraId="22F1BFF5" w14:textId="77777777" w:rsidR="003551A5" w:rsidRPr="00CB2474"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B2474">
              <w:rPr>
                <w:rFonts w:ascii="Open Sans" w:hAnsi="Open Sans" w:cs="Open Sans"/>
                <w:bCs w:val="0"/>
                <w:sz w:val="22"/>
                <w:szCs w:val="22"/>
                <w:lang w:val="es-ES"/>
              </w:rPr>
              <w:t>Junio 2019</w:t>
            </w:r>
          </w:p>
          <w:p w14:paraId="2F5DE29C" w14:textId="77777777" w:rsidR="003551A5" w:rsidRPr="00CB2474" w:rsidRDefault="003551A5" w:rsidP="001F1F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CB2474">
              <w:rPr>
                <w:rFonts w:ascii="Open Sans" w:hAnsi="Open Sans" w:cs="Open Sans"/>
                <w:bCs w:val="0"/>
                <w:sz w:val="22"/>
                <w:szCs w:val="22"/>
                <w:lang w:val="es-ES"/>
              </w:rPr>
              <w:t>(€/m²)</w:t>
            </w:r>
          </w:p>
        </w:tc>
      </w:tr>
      <w:tr w:rsidR="003551A5" w:rsidRPr="00CB2474" w14:paraId="55681A37"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7684569D"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Eixample</w:t>
            </w:r>
          </w:p>
        </w:tc>
        <w:tc>
          <w:tcPr>
            <w:tcW w:w="1982" w:type="dxa"/>
            <w:vAlign w:val="bottom"/>
          </w:tcPr>
          <w:p w14:paraId="4DFBB02F"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2,8 %</w:t>
            </w:r>
          </w:p>
        </w:tc>
        <w:tc>
          <w:tcPr>
            <w:tcW w:w="1846" w:type="dxa"/>
            <w:vAlign w:val="bottom"/>
          </w:tcPr>
          <w:p w14:paraId="4BA2CB52"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2,7 %</w:t>
            </w:r>
          </w:p>
        </w:tc>
        <w:tc>
          <w:tcPr>
            <w:tcW w:w="1727" w:type="dxa"/>
            <w:vAlign w:val="bottom"/>
          </w:tcPr>
          <w:p w14:paraId="3F5EF73C" w14:textId="77777777" w:rsidR="003551A5" w:rsidRPr="003E6BCA"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9C0006"/>
                <w:sz w:val="22"/>
                <w:szCs w:val="22"/>
              </w:rPr>
              <w:t>-0,1 %</w:t>
            </w:r>
          </w:p>
        </w:tc>
        <w:tc>
          <w:tcPr>
            <w:tcW w:w="1485" w:type="dxa"/>
            <w:vAlign w:val="bottom"/>
          </w:tcPr>
          <w:p w14:paraId="393F8899"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5.280 €</w:t>
            </w:r>
          </w:p>
        </w:tc>
      </w:tr>
      <w:tr w:rsidR="003551A5" w:rsidRPr="00CB2474" w14:paraId="4CB2FE15"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5C29882"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Les Corts</w:t>
            </w:r>
          </w:p>
        </w:tc>
        <w:tc>
          <w:tcPr>
            <w:tcW w:w="1982" w:type="dxa"/>
            <w:vAlign w:val="bottom"/>
          </w:tcPr>
          <w:p w14:paraId="6561759C"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2,9 %</w:t>
            </w:r>
          </w:p>
        </w:tc>
        <w:tc>
          <w:tcPr>
            <w:tcW w:w="1846" w:type="dxa"/>
            <w:vAlign w:val="bottom"/>
          </w:tcPr>
          <w:p w14:paraId="66E9DF53"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2,2 %</w:t>
            </w:r>
          </w:p>
        </w:tc>
        <w:tc>
          <w:tcPr>
            <w:tcW w:w="1727" w:type="dxa"/>
            <w:vAlign w:val="bottom"/>
          </w:tcPr>
          <w:p w14:paraId="35296472" w14:textId="77777777" w:rsidR="003551A5" w:rsidRPr="003E6BCA"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9C0006"/>
                <w:sz w:val="22"/>
                <w:szCs w:val="22"/>
              </w:rPr>
              <w:t>-0,7 %</w:t>
            </w:r>
          </w:p>
        </w:tc>
        <w:tc>
          <w:tcPr>
            <w:tcW w:w="1485" w:type="dxa"/>
            <w:vAlign w:val="bottom"/>
          </w:tcPr>
          <w:p w14:paraId="0FFF3578"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5.019 €</w:t>
            </w:r>
          </w:p>
        </w:tc>
      </w:tr>
      <w:tr w:rsidR="003551A5" w:rsidRPr="00CB2474" w14:paraId="05DD76E4"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09CA3C08"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Sant Martí</w:t>
            </w:r>
          </w:p>
        </w:tc>
        <w:tc>
          <w:tcPr>
            <w:tcW w:w="1982" w:type="dxa"/>
            <w:vAlign w:val="bottom"/>
          </w:tcPr>
          <w:p w14:paraId="2E6DAE90"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3,2 %</w:t>
            </w:r>
          </w:p>
        </w:tc>
        <w:tc>
          <w:tcPr>
            <w:tcW w:w="1846" w:type="dxa"/>
            <w:vAlign w:val="bottom"/>
          </w:tcPr>
          <w:p w14:paraId="40CE91DF"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2,0 %</w:t>
            </w:r>
          </w:p>
        </w:tc>
        <w:tc>
          <w:tcPr>
            <w:tcW w:w="1727" w:type="dxa"/>
            <w:vAlign w:val="bottom"/>
          </w:tcPr>
          <w:p w14:paraId="4FBEDD65" w14:textId="77777777" w:rsidR="003551A5" w:rsidRPr="003E6BCA"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1,9 %</w:t>
            </w:r>
          </w:p>
        </w:tc>
        <w:tc>
          <w:tcPr>
            <w:tcW w:w="1485" w:type="dxa"/>
            <w:vAlign w:val="bottom"/>
          </w:tcPr>
          <w:p w14:paraId="68404D2C"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4.203 €</w:t>
            </w:r>
          </w:p>
        </w:tc>
      </w:tr>
      <w:tr w:rsidR="003551A5" w:rsidRPr="00CB2474" w14:paraId="30E9BFB8"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C26BD81"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Sant Andreu</w:t>
            </w:r>
          </w:p>
        </w:tc>
        <w:tc>
          <w:tcPr>
            <w:tcW w:w="1982" w:type="dxa"/>
            <w:vAlign w:val="bottom"/>
          </w:tcPr>
          <w:p w14:paraId="1540CBF1"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1,6 %</w:t>
            </w:r>
          </w:p>
        </w:tc>
        <w:tc>
          <w:tcPr>
            <w:tcW w:w="1846" w:type="dxa"/>
            <w:vAlign w:val="bottom"/>
          </w:tcPr>
          <w:p w14:paraId="71DC9A5D"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2,0 %</w:t>
            </w:r>
          </w:p>
        </w:tc>
        <w:tc>
          <w:tcPr>
            <w:tcW w:w="1727" w:type="dxa"/>
            <w:vAlign w:val="bottom"/>
          </w:tcPr>
          <w:p w14:paraId="371ADC5E" w14:textId="77777777" w:rsidR="003551A5" w:rsidRPr="003E6BCA"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9C0006"/>
                <w:sz w:val="22"/>
                <w:szCs w:val="22"/>
              </w:rPr>
              <w:t>-1,0 %</w:t>
            </w:r>
          </w:p>
        </w:tc>
        <w:tc>
          <w:tcPr>
            <w:tcW w:w="1485" w:type="dxa"/>
            <w:vAlign w:val="bottom"/>
          </w:tcPr>
          <w:p w14:paraId="1C84E249"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3.287 €</w:t>
            </w:r>
          </w:p>
        </w:tc>
      </w:tr>
      <w:tr w:rsidR="003551A5" w:rsidRPr="00CB2474" w14:paraId="43A47397"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26CCE56"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Horta - Guinardó</w:t>
            </w:r>
          </w:p>
        </w:tc>
        <w:tc>
          <w:tcPr>
            <w:tcW w:w="1982" w:type="dxa"/>
            <w:vAlign w:val="bottom"/>
          </w:tcPr>
          <w:p w14:paraId="73348092"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0,7 %</w:t>
            </w:r>
          </w:p>
        </w:tc>
        <w:tc>
          <w:tcPr>
            <w:tcW w:w="1846" w:type="dxa"/>
            <w:vAlign w:val="bottom"/>
          </w:tcPr>
          <w:p w14:paraId="40355E3F"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1,9 %</w:t>
            </w:r>
          </w:p>
        </w:tc>
        <w:tc>
          <w:tcPr>
            <w:tcW w:w="1727" w:type="dxa"/>
            <w:vAlign w:val="bottom"/>
          </w:tcPr>
          <w:p w14:paraId="5A6D5E71" w14:textId="77777777" w:rsidR="003551A5" w:rsidRPr="003E6BCA"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0,0 %</w:t>
            </w:r>
          </w:p>
        </w:tc>
        <w:tc>
          <w:tcPr>
            <w:tcW w:w="1485" w:type="dxa"/>
            <w:vAlign w:val="bottom"/>
          </w:tcPr>
          <w:p w14:paraId="30CD00CD"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3.297 €</w:t>
            </w:r>
          </w:p>
        </w:tc>
      </w:tr>
      <w:tr w:rsidR="003551A5" w:rsidRPr="00CB2474" w14:paraId="221A92BC"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16F34DC3"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 xml:space="preserve">Nou </w:t>
            </w:r>
            <w:proofErr w:type="spellStart"/>
            <w:r w:rsidRPr="003E6BCA">
              <w:rPr>
                <w:rFonts w:ascii="Arial" w:hAnsi="Arial" w:cs="Arial"/>
                <w:b w:val="0"/>
                <w:bCs w:val="0"/>
                <w:sz w:val="22"/>
                <w:szCs w:val="22"/>
              </w:rPr>
              <w:t>Barris</w:t>
            </w:r>
            <w:proofErr w:type="spellEnd"/>
          </w:p>
        </w:tc>
        <w:tc>
          <w:tcPr>
            <w:tcW w:w="1982" w:type="dxa"/>
            <w:vAlign w:val="bottom"/>
          </w:tcPr>
          <w:p w14:paraId="0EFAE685"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2,2 %</w:t>
            </w:r>
          </w:p>
        </w:tc>
        <w:tc>
          <w:tcPr>
            <w:tcW w:w="1846" w:type="dxa"/>
            <w:vAlign w:val="bottom"/>
          </w:tcPr>
          <w:p w14:paraId="4A6A2407"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1,8 %</w:t>
            </w:r>
          </w:p>
        </w:tc>
        <w:tc>
          <w:tcPr>
            <w:tcW w:w="1727" w:type="dxa"/>
            <w:vAlign w:val="bottom"/>
          </w:tcPr>
          <w:p w14:paraId="64F504B8" w14:textId="77777777" w:rsidR="003551A5" w:rsidRPr="003E6BCA"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5,7 %</w:t>
            </w:r>
          </w:p>
        </w:tc>
        <w:tc>
          <w:tcPr>
            <w:tcW w:w="1485" w:type="dxa"/>
            <w:vAlign w:val="bottom"/>
          </w:tcPr>
          <w:p w14:paraId="26C3016E"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2.682 €</w:t>
            </w:r>
          </w:p>
        </w:tc>
      </w:tr>
      <w:tr w:rsidR="003551A5" w:rsidRPr="00CB2474" w14:paraId="2ED11C5D"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707BEB7E"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Sants - Montjuïc</w:t>
            </w:r>
          </w:p>
        </w:tc>
        <w:tc>
          <w:tcPr>
            <w:tcW w:w="1982" w:type="dxa"/>
            <w:vAlign w:val="bottom"/>
          </w:tcPr>
          <w:p w14:paraId="5D063FA0"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9C0006"/>
                <w:sz w:val="22"/>
                <w:szCs w:val="22"/>
              </w:rPr>
              <w:t>-0,7 %</w:t>
            </w:r>
          </w:p>
        </w:tc>
        <w:tc>
          <w:tcPr>
            <w:tcW w:w="1846" w:type="dxa"/>
            <w:vAlign w:val="bottom"/>
          </w:tcPr>
          <w:p w14:paraId="53C3CAE5"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1,2 %</w:t>
            </w:r>
          </w:p>
        </w:tc>
        <w:tc>
          <w:tcPr>
            <w:tcW w:w="1727" w:type="dxa"/>
            <w:vAlign w:val="bottom"/>
          </w:tcPr>
          <w:p w14:paraId="194B9101" w14:textId="77777777" w:rsidR="003551A5" w:rsidRPr="003E6BCA"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0,0 %</w:t>
            </w:r>
          </w:p>
        </w:tc>
        <w:tc>
          <w:tcPr>
            <w:tcW w:w="1485" w:type="dxa"/>
            <w:vAlign w:val="bottom"/>
          </w:tcPr>
          <w:p w14:paraId="030696BA" w14:textId="77777777" w:rsidR="003551A5"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3.926 €</w:t>
            </w:r>
          </w:p>
        </w:tc>
      </w:tr>
      <w:tr w:rsidR="003551A5" w:rsidRPr="00CB2474" w14:paraId="6FFFE3CD"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2739D782"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Gràcia</w:t>
            </w:r>
          </w:p>
        </w:tc>
        <w:tc>
          <w:tcPr>
            <w:tcW w:w="1982" w:type="dxa"/>
            <w:vAlign w:val="bottom"/>
          </w:tcPr>
          <w:p w14:paraId="710D57C9"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9C0006"/>
                <w:sz w:val="22"/>
                <w:szCs w:val="22"/>
              </w:rPr>
              <w:t>0,0 %</w:t>
            </w:r>
          </w:p>
        </w:tc>
        <w:tc>
          <w:tcPr>
            <w:tcW w:w="1846" w:type="dxa"/>
            <w:vAlign w:val="bottom"/>
          </w:tcPr>
          <w:p w14:paraId="27EDB7C0"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1,2 %</w:t>
            </w:r>
          </w:p>
        </w:tc>
        <w:tc>
          <w:tcPr>
            <w:tcW w:w="1727" w:type="dxa"/>
            <w:vAlign w:val="bottom"/>
          </w:tcPr>
          <w:p w14:paraId="65AF12CB" w14:textId="77777777" w:rsidR="003551A5" w:rsidRPr="003E6BCA"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0,7 %</w:t>
            </w:r>
          </w:p>
        </w:tc>
        <w:tc>
          <w:tcPr>
            <w:tcW w:w="1485" w:type="dxa"/>
            <w:vAlign w:val="bottom"/>
          </w:tcPr>
          <w:p w14:paraId="0870F1FB" w14:textId="77777777" w:rsidR="003551A5"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4.639 €</w:t>
            </w:r>
          </w:p>
        </w:tc>
      </w:tr>
      <w:tr w:rsidR="003551A5" w:rsidRPr="00CB2474" w14:paraId="415B8A6A" w14:textId="77777777" w:rsidTr="001F1FF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46D32376" w14:textId="77777777" w:rsidR="003551A5" w:rsidRPr="003E6BCA" w:rsidRDefault="003551A5" w:rsidP="001F1FFC">
            <w:pPr>
              <w:rPr>
                <w:rFonts w:ascii="Open Sans" w:hAnsi="Open Sans" w:cs="Open Sans"/>
                <w:b w:val="0"/>
                <w:bCs w:val="0"/>
                <w:sz w:val="22"/>
                <w:szCs w:val="22"/>
              </w:rPr>
            </w:pPr>
            <w:r w:rsidRPr="003E6BCA">
              <w:rPr>
                <w:rFonts w:ascii="Arial" w:hAnsi="Arial" w:cs="Arial"/>
                <w:b w:val="0"/>
                <w:bCs w:val="0"/>
                <w:sz w:val="22"/>
                <w:szCs w:val="22"/>
              </w:rPr>
              <w:t>Sarrià - Sant Gervasi</w:t>
            </w:r>
          </w:p>
        </w:tc>
        <w:tc>
          <w:tcPr>
            <w:tcW w:w="1982" w:type="dxa"/>
            <w:vAlign w:val="bottom"/>
          </w:tcPr>
          <w:p w14:paraId="2D04469A" w14:textId="77777777" w:rsidR="003551A5" w:rsidRPr="00CB2474"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9C0006"/>
                <w:sz w:val="22"/>
                <w:szCs w:val="22"/>
              </w:rPr>
              <w:t>-0,6 %</w:t>
            </w:r>
          </w:p>
        </w:tc>
        <w:tc>
          <w:tcPr>
            <w:tcW w:w="1846" w:type="dxa"/>
            <w:vAlign w:val="bottom"/>
          </w:tcPr>
          <w:p w14:paraId="18154888" w14:textId="77777777" w:rsidR="003551A5" w:rsidRPr="00CB2474"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Arial" w:hAnsi="Arial" w:cs="Arial"/>
                <w:color w:val="000000"/>
                <w:sz w:val="22"/>
                <w:szCs w:val="22"/>
              </w:rPr>
              <w:t>0,8 %</w:t>
            </w:r>
          </w:p>
        </w:tc>
        <w:tc>
          <w:tcPr>
            <w:tcW w:w="1727" w:type="dxa"/>
            <w:vAlign w:val="bottom"/>
          </w:tcPr>
          <w:p w14:paraId="038C40EF" w14:textId="77777777" w:rsidR="003551A5" w:rsidRPr="003E6BCA"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000000"/>
                <w:sz w:val="22"/>
                <w:szCs w:val="22"/>
              </w:rPr>
              <w:t>1,4 %</w:t>
            </w:r>
          </w:p>
        </w:tc>
        <w:tc>
          <w:tcPr>
            <w:tcW w:w="1485" w:type="dxa"/>
            <w:vAlign w:val="bottom"/>
          </w:tcPr>
          <w:p w14:paraId="36A3B4CA" w14:textId="77777777" w:rsidR="003551A5" w:rsidRPr="00CB2474" w:rsidRDefault="003551A5" w:rsidP="001F1F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5.662 €</w:t>
            </w:r>
          </w:p>
        </w:tc>
      </w:tr>
      <w:tr w:rsidR="003551A5" w:rsidRPr="00CB2474" w14:paraId="2C1287D8" w14:textId="77777777" w:rsidTr="001F1FFC">
        <w:trPr>
          <w:trHeight w:val="285"/>
        </w:trPr>
        <w:tc>
          <w:tcPr>
            <w:cnfStyle w:val="001000000000" w:firstRow="0" w:lastRow="0" w:firstColumn="1" w:lastColumn="0" w:oddVBand="0" w:evenVBand="0" w:oddHBand="0" w:evenHBand="0" w:firstRowFirstColumn="0" w:firstRowLastColumn="0" w:lastRowFirstColumn="0" w:lastRowLastColumn="0"/>
            <w:tcW w:w="1979" w:type="dxa"/>
            <w:shd w:val="clear" w:color="auto" w:fill="1DBDC5"/>
            <w:vAlign w:val="bottom"/>
          </w:tcPr>
          <w:p w14:paraId="6FD9E6F6" w14:textId="77777777" w:rsidR="003551A5" w:rsidRPr="003E6BCA" w:rsidRDefault="003551A5" w:rsidP="001F1FFC">
            <w:pPr>
              <w:rPr>
                <w:rFonts w:ascii="Open Sans" w:hAnsi="Open Sans" w:cs="Open Sans"/>
                <w:b w:val="0"/>
                <w:bCs w:val="0"/>
                <w:sz w:val="22"/>
                <w:szCs w:val="22"/>
              </w:rPr>
            </w:pPr>
            <w:proofErr w:type="spellStart"/>
            <w:r w:rsidRPr="003E6BCA">
              <w:rPr>
                <w:rFonts w:ascii="Arial" w:hAnsi="Arial" w:cs="Arial"/>
                <w:b w:val="0"/>
                <w:bCs w:val="0"/>
                <w:sz w:val="22"/>
                <w:szCs w:val="22"/>
              </w:rPr>
              <w:t>Ciutat</w:t>
            </w:r>
            <w:proofErr w:type="spellEnd"/>
            <w:r w:rsidRPr="003E6BCA">
              <w:rPr>
                <w:rFonts w:ascii="Arial" w:hAnsi="Arial" w:cs="Arial"/>
                <w:b w:val="0"/>
                <w:bCs w:val="0"/>
                <w:sz w:val="22"/>
                <w:szCs w:val="22"/>
              </w:rPr>
              <w:t xml:space="preserve"> Vella</w:t>
            </w:r>
          </w:p>
        </w:tc>
        <w:tc>
          <w:tcPr>
            <w:tcW w:w="1982" w:type="dxa"/>
            <w:vAlign w:val="bottom"/>
          </w:tcPr>
          <w:p w14:paraId="157E5F22" w14:textId="77777777" w:rsidR="003551A5" w:rsidRPr="00CB2474"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0,4 %</w:t>
            </w:r>
          </w:p>
        </w:tc>
        <w:tc>
          <w:tcPr>
            <w:tcW w:w="1846" w:type="dxa"/>
            <w:vAlign w:val="bottom"/>
          </w:tcPr>
          <w:p w14:paraId="2C146741" w14:textId="77777777" w:rsidR="003551A5" w:rsidRPr="00CB2474"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Arial" w:hAnsi="Arial" w:cs="Arial"/>
                <w:color w:val="000000"/>
                <w:sz w:val="22"/>
                <w:szCs w:val="22"/>
              </w:rPr>
              <w:t>0,2 %</w:t>
            </w:r>
          </w:p>
        </w:tc>
        <w:tc>
          <w:tcPr>
            <w:tcW w:w="1727" w:type="dxa"/>
            <w:vAlign w:val="bottom"/>
          </w:tcPr>
          <w:p w14:paraId="25CA0287" w14:textId="77777777" w:rsidR="003551A5" w:rsidRPr="003E6BCA"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3E6BCA">
              <w:rPr>
                <w:rFonts w:ascii="Arial" w:hAnsi="Arial" w:cs="Arial"/>
                <w:b/>
                <w:color w:val="9C0006"/>
                <w:sz w:val="22"/>
                <w:szCs w:val="22"/>
              </w:rPr>
              <w:t>-0,4 %</w:t>
            </w:r>
          </w:p>
        </w:tc>
        <w:tc>
          <w:tcPr>
            <w:tcW w:w="1485" w:type="dxa"/>
            <w:vAlign w:val="bottom"/>
          </w:tcPr>
          <w:p w14:paraId="51CFCDAF" w14:textId="77777777" w:rsidR="003551A5" w:rsidRPr="00CB2474" w:rsidRDefault="003551A5" w:rsidP="001F1F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Arial" w:hAnsi="Arial" w:cs="Arial"/>
                <w:color w:val="000000"/>
                <w:sz w:val="22"/>
                <w:szCs w:val="22"/>
              </w:rPr>
              <w:t>4.650 €</w:t>
            </w:r>
          </w:p>
        </w:tc>
      </w:tr>
    </w:tbl>
    <w:p w14:paraId="2C7BA71B" w14:textId="7D3B56BD" w:rsidR="003551A5" w:rsidRDefault="003551A5" w:rsidP="00C15353">
      <w:pPr>
        <w:spacing w:line="276" w:lineRule="auto"/>
        <w:ind w:right="-574"/>
        <w:jc w:val="right"/>
        <w:rPr>
          <w:rFonts w:ascii="Open Sans Light" w:hAnsi="Open Sans Light" w:cs="Open Sans Light"/>
          <w:b/>
          <w:iCs/>
          <w:color w:val="303AB2"/>
          <w:szCs w:val="20"/>
          <w:lang w:val="es-ES"/>
        </w:rPr>
      </w:pPr>
    </w:p>
    <w:p w14:paraId="687B7FDA" w14:textId="77777777" w:rsidR="008364BD" w:rsidRDefault="008364BD" w:rsidP="00C15353">
      <w:pPr>
        <w:spacing w:line="276" w:lineRule="auto"/>
        <w:ind w:right="-574"/>
        <w:jc w:val="right"/>
        <w:rPr>
          <w:rFonts w:ascii="Open Sans Light" w:hAnsi="Open Sans Light" w:cs="Open Sans Light"/>
          <w:b/>
          <w:iCs/>
          <w:color w:val="303AB2"/>
          <w:szCs w:val="20"/>
          <w:lang w:val="es-ES"/>
        </w:rPr>
      </w:pPr>
    </w:p>
    <w:p w14:paraId="0B6EA8C3" w14:textId="1F8CBBE1" w:rsidR="00C15353" w:rsidRPr="00B41A97" w:rsidRDefault="008364BD" w:rsidP="00C15353">
      <w:pPr>
        <w:spacing w:line="276" w:lineRule="auto"/>
        <w:ind w:right="-574"/>
        <w:jc w:val="right"/>
        <w:rPr>
          <w:rFonts w:ascii="Open Sans Light" w:hAnsi="Open Sans Light" w:cs="Open Sans Light"/>
          <w:b/>
          <w:iCs/>
          <w:color w:val="303AB2"/>
          <w:szCs w:val="20"/>
          <w:lang w:val="es-ES"/>
        </w:rPr>
      </w:pPr>
      <w:r>
        <w:rPr>
          <w:rFonts w:ascii="Open Sans Light" w:hAnsi="Open Sans Light" w:cs="Open Sans Light"/>
          <w:b/>
          <w:iCs/>
          <w:color w:val="303AB2"/>
          <w:szCs w:val="20"/>
          <w:lang w:val="es-ES"/>
        </w:rPr>
        <w:t>S</w:t>
      </w:r>
      <w:r w:rsidR="00C15353" w:rsidRPr="00B41A97">
        <w:rPr>
          <w:rFonts w:ascii="Open Sans Light" w:hAnsi="Open Sans Light" w:cs="Open Sans Light"/>
          <w:b/>
          <w:iCs/>
          <w:color w:val="303AB2"/>
          <w:szCs w:val="20"/>
          <w:lang w:val="es-ES"/>
        </w:rPr>
        <w:t xml:space="preserve">obre </w:t>
      </w:r>
      <w:r w:rsidR="00C15353">
        <w:rPr>
          <w:rFonts w:ascii="Open Sans Light" w:hAnsi="Open Sans Light" w:cs="Open Sans Light"/>
          <w:b/>
          <w:iCs/>
          <w:color w:val="303AB2"/>
          <w:szCs w:val="20"/>
          <w:lang w:val="es-ES"/>
        </w:rPr>
        <w:t>F</w:t>
      </w:r>
      <w:r w:rsidR="00C15353" w:rsidRPr="00B41A97">
        <w:rPr>
          <w:rFonts w:ascii="Open Sans Light" w:hAnsi="Open Sans Light" w:cs="Open Sans Light"/>
          <w:b/>
          <w:iCs/>
          <w:color w:val="303AB2"/>
          <w:szCs w:val="20"/>
          <w:lang w:val="es-ES"/>
        </w:rPr>
        <w:t>otocasa</w:t>
      </w:r>
    </w:p>
    <w:p w14:paraId="365F77EF" w14:textId="0F02E5EC" w:rsidR="004C1FF5" w:rsidRPr="006722A1" w:rsidRDefault="004C1FF5" w:rsidP="004C1FF5">
      <w:pPr>
        <w:pStyle w:val="NormalWeb"/>
        <w:shd w:val="clear" w:color="auto" w:fill="FFFFFF"/>
        <w:spacing w:line="276" w:lineRule="atLeast"/>
        <w:ind w:right="-567"/>
        <w:jc w:val="both"/>
        <w:rPr>
          <w:color w:val="222222"/>
          <w:sz w:val="21"/>
          <w:szCs w:val="21"/>
        </w:rPr>
      </w:pPr>
      <w:r w:rsidRPr="006722A1">
        <w:rPr>
          <w:rFonts w:ascii="Open Sans" w:hAnsi="Open Sans" w:cs="Open Sans"/>
          <w:color w:val="000000"/>
          <w:sz w:val="21"/>
          <w:szCs w:val="21"/>
        </w:rPr>
        <w:t>Portal inmobiliario que cuenta con inmuebles de segunda mano, promociones de obra nueva y viviendas de alquiler. Cada mes genera un tráfico de 22 millones de visitas</w:t>
      </w:r>
      <w:r w:rsidR="00500E90">
        <w:rPr>
          <w:rFonts w:ascii="Open Sans" w:hAnsi="Open Sans" w:cs="Open Sans"/>
          <w:color w:val="000000"/>
          <w:sz w:val="21"/>
          <w:szCs w:val="21"/>
        </w:rPr>
        <w:t xml:space="preserve"> </w:t>
      </w:r>
      <w:r w:rsidRPr="006722A1">
        <w:rPr>
          <w:rFonts w:ascii="Open Sans" w:hAnsi="Open Sans" w:cs="Open Sans"/>
          <w:color w:val="000000"/>
          <w:sz w:val="21"/>
          <w:szCs w:val="21"/>
        </w:rPr>
        <w:t>(70% a través de dispositivos móviles) y 650 millones de páginas vistas y cada día la visitan un promedio de 493.000 usuarios únicos.</w:t>
      </w:r>
      <w:r w:rsidR="008364BD">
        <w:rPr>
          <w:color w:val="222222"/>
          <w:sz w:val="21"/>
          <w:szCs w:val="21"/>
        </w:rPr>
        <w:t xml:space="preserve"> </w:t>
      </w:r>
      <w:r w:rsidRPr="006722A1">
        <w:rPr>
          <w:rFonts w:ascii="Open Sans" w:hAnsi="Open Sans" w:cs="Open Sans"/>
          <w:color w:val="000000"/>
          <w:sz w:val="21"/>
          <w:szCs w:val="21"/>
        </w:rPr>
        <w:t>Mensualmente elabora el </w:t>
      </w:r>
      <w:hyperlink r:id="rId15" w:tgtFrame="_blank" w:history="1">
        <w:r w:rsidRPr="006722A1">
          <w:rPr>
            <w:rStyle w:val="Hipervnculo"/>
            <w:rFonts w:ascii="Open Sans" w:hAnsi="Open Sans" w:cs="Open Sans"/>
            <w:sz w:val="21"/>
            <w:szCs w:val="21"/>
          </w:rPr>
          <w:t>índice inmobiliario Fotocasa</w:t>
        </w:r>
      </w:hyperlink>
      <w:r w:rsidRPr="006722A1">
        <w:rPr>
          <w:rFonts w:ascii="Open Sans" w:hAnsi="Open Sans" w:cs="Open Sans"/>
          <w:color w:val="000000"/>
          <w:sz w:val="21"/>
          <w:szCs w:val="21"/>
        </w:rPr>
        <w:t>, un informe de referencia sobre la evolución del precio medio de la vivienda en España, tanto en venta como en alquiler.</w:t>
      </w:r>
    </w:p>
    <w:p w14:paraId="0788E67E" w14:textId="1F7940AB" w:rsidR="004C1FF5" w:rsidRPr="006722A1" w:rsidRDefault="00333024" w:rsidP="004C1FF5">
      <w:pPr>
        <w:pStyle w:val="NormalWeb"/>
        <w:shd w:val="clear" w:color="auto" w:fill="FFFFFF"/>
        <w:spacing w:line="276" w:lineRule="atLeast"/>
        <w:ind w:right="-567"/>
        <w:jc w:val="both"/>
        <w:rPr>
          <w:color w:val="222222"/>
          <w:sz w:val="21"/>
          <w:szCs w:val="21"/>
        </w:rPr>
      </w:pPr>
      <w:hyperlink r:id="rId16" w:tgtFrame="_blank" w:history="1">
        <w:r w:rsidR="004C1FF5" w:rsidRPr="006722A1">
          <w:rPr>
            <w:rStyle w:val="Hipervnculo"/>
            <w:rFonts w:ascii="Open Sans" w:hAnsi="Open Sans" w:cs="Open Sans"/>
            <w:b/>
            <w:bCs/>
            <w:sz w:val="21"/>
            <w:szCs w:val="21"/>
          </w:rPr>
          <w:t>Fotocasa</w:t>
        </w:r>
      </w:hyperlink>
      <w:r w:rsidR="004C1FF5" w:rsidRPr="006722A1">
        <w:rPr>
          <w:rFonts w:ascii="Open Sans" w:hAnsi="Open Sans" w:cs="Open Sans"/>
          <w:color w:val="000000"/>
          <w:sz w:val="21"/>
          <w:szCs w:val="21"/>
        </w:rPr>
        <w:t> pertenece a </w:t>
      </w:r>
      <w:proofErr w:type="spellStart"/>
      <w:r w:rsidR="000B1741">
        <w:fldChar w:fldCharType="begin"/>
      </w:r>
      <w:r w:rsidR="000B1741">
        <w:instrText xml:space="preserve"> HYPERLINK "https://www.adevinta.com/" \t "_blank" </w:instrText>
      </w:r>
      <w:r w:rsidR="000B1741">
        <w:fldChar w:fldCharType="separate"/>
      </w:r>
      <w:r w:rsidR="004C1FF5" w:rsidRPr="006722A1">
        <w:rPr>
          <w:rStyle w:val="Hipervnculo"/>
          <w:rFonts w:ascii="Open Sans" w:hAnsi="Open Sans" w:cs="Open Sans"/>
          <w:sz w:val="21"/>
          <w:szCs w:val="21"/>
        </w:rPr>
        <w:t>Adevinta</w:t>
      </w:r>
      <w:proofErr w:type="spellEnd"/>
      <w:r w:rsidR="000B1741">
        <w:rPr>
          <w:rStyle w:val="Hipervnculo"/>
          <w:rFonts w:ascii="Open Sans" w:hAnsi="Open Sans" w:cs="Open Sans"/>
          <w:sz w:val="21"/>
          <w:szCs w:val="21"/>
        </w:rPr>
        <w:fldChar w:fldCharType="end"/>
      </w:r>
      <w:r w:rsidR="004C1FF5" w:rsidRPr="006722A1">
        <w:rPr>
          <w:rFonts w:ascii="Open Sans" w:hAnsi="Open Sans" w:cs="Open Sans"/>
          <w:color w:val="000000"/>
          <w:sz w:val="21"/>
          <w:szCs w:val="21"/>
        </w:rPr>
        <w:t xml:space="preserve">, una empresa 100% especializada en </w:t>
      </w:r>
      <w:proofErr w:type="spellStart"/>
      <w:r w:rsidR="004C1FF5" w:rsidRPr="006722A1">
        <w:rPr>
          <w:rFonts w:ascii="Open Sans" w:hAnsi="Open Sans" w:cs="Open Sans"/>
          <w:color w:val="000000"/>
          <w:sz w:val="21"/>
          <w:szCs w:val="21"/>
        </w:rPr>
        <w:t>marketplaces</w:t>
      </w:r>
      <w:proofErr w:type="spellEnd"/>
      <w:r w:rsidR="004C1FF5" w:rsidRPr="006722A1">
        <w:rPr>
          <w:rFonts w:ascii="Open Sans" w:hAnsi="Open Sans" w:cs="Open Sans"/>
          <w:color w:val="000000"/>
          <w:sz w:val="21"/>
          <w:szCs w:val="21"/>
        </w:rPr>
        <w:t xml:space="preserve"> digitales y el único “</w:t>
      </w:r>
      <w:proofErr w:type="spellStart"/>
      <w:r w:rsidR="004C1FF5" w:rsidRPr="006722A1">
        <w:rPr>
          <w:rFonts w:ascii="Open Sans" w:hAnsi="Open Sans" w:cs="Open Sans"/>
          <w:color w:val="000000"/>
          <w:sz w:val="21"/>
          <w:szCs w:val="21"/>
        </w:rPr>
        <w:t>pure</w:t>
      </w:r>
      <w:proofErr w:type="spellEnd"/>
      <w:r w:rsidR="004C1FF5" w:rsidRPr="006722A1">
        <w:rPr>
          <w:rFonts w:ascii="Open Sans" w:hAnsi="Open Sans" w:cs="Open Sans"/>
          <w:color w:val="000000"/>
          <w:sz w:val="21"/>
          <w:szCs w:val="21"/>
        </w:rPr>
        <w:t xml:space="preserve"> </w:t>
      </w:r>
      <w:proofErr w:type="spellStart"/>
      <w:r w:rsidR="004C1FF5" w:rsidRPr="006722A1">
        <w:rPr>
          <w:rFonts w:ascii="Open Sans" w:hAnsi="Open Sans" w:cs="Open Sans"/>
          <w:color w:val="000000"/>
          <w:sz w:val="21"/>
          <w:szCs w:val="21"/>
        </w:rPr>
        <w:t>player</w:t>
      </w:r>
      <w:proofErr w:type="spellEnd"/>
      <w:r w:rsidR="004C1FF5" w:rsidRPr="006722A1">
        <w:rPr>
          <w:rFonts w:ascii="Open Sans" w:hAnsi="Open Sans" w:cs="Open Sans"/>
          <w:color w:val="000000"/>
          <w:sz w:val="21"/>
          <w:szCs w:val="21"/>
        </w:rPr>
        <w:t xml:space="preserve">” del sector a nivel mundial. Con presencia en 16 países de Europa, </w:t>
      </w:r>
      <w:r w:rsidR="00500E90">
        <w:rPr>
          <w:rFonts w:ascii="Open Sans" w:hAnsi="Open Sans" w:cs="Open Sans"/>
          <w:color w:val="000000"/>
          <w:sz w:val="21"/>
          <w:szCs w:val="21"/>
        </w:rPr>
        <w:t>A</w:t>
      </w:r>
      <w:r w:rsidR="004C1FF5" w:rsidRPr="006722A1">
        <w:rPr>
          <w:rFonts w:ascii="Open Sans" w:hAnsi="Open Sans" w:cs="Open Sans"/>
          <w:color w:val="000000"/>
          <w:sz w:val="21"/>
          <w:szCs w:val="21"/>
        </w:rPr>
        <w:t xml:space="preserve">mérica Latina y África del Norte, </w:t>
      </w:r>
      <w:r w:rsidR="00B01FD5" w:rsidRPr="006722A1">
        <w:rPr>
          <w:rFonts w:ascii="Open Sans" w:hAnsi="Open Sans" w:cs="Open Sans"/>
          <w:color w:val="000000"/>
          <w:sz w:val="21"/>
          <w:szCs w:val="21"/>
        </w:rPr>
        <w:t>el conjunto de sus plataformas locales recibe</w:t>
      </w:r>
      <w:r w:rsidR="004C1FF5" w:rsidRPr="006722A1">
        <w:rPr>
          <w:rFonts w:ascii="Open Sans" w:hAnsi="Open Sans" w:cs="Open Sans"/>
          <w:color w:val="000000"/>
          <w:sz w:val="21"/>
          <w:szCs w:val="21"/>
        </w:rPr>
        <w:t xml:space="preserve"> un promedio de 1.500 millones de visitas cada mes.</w:t>
      </w:r>
    </w:p>
    <w:p w14:paraId="29FF1B02" w14:textId="516631C9" w:rsidR="004C1FF5" w:rsidRPr="006722A1" w:rsidRDefault="004C1FF5" w:rsidP="004C1FF5">
      <w:pPr>
        <w:pStyle w:val="NormalWeb"/>
        <w:shd w:val="clear" w:color="auto" w:fill="FFFFFF"/>
        <w:spacing w:line="276" w:lineRule="atLeast"/>
        <w:ind w:right="-567"/>
        <w:jc w:val="both"/>
        <w:rPr>
          <w:color w:val="222222"/>
          <w:sz w:val="21"/>
          <w:szCs w:val="21"/>
        </w:rPr>
      </w:pPr>
      <w:r w:rsidRPr="006722A1">
        <w:rPr>
          <w:rFonts w:ascii="Open Sans" w:hAnsi="Open Sans" w:cs="Open Sans"/>
          <w:color w:val="000000"/>
          <w:sz w:val="21"/>
          <w:szCs w:val="21"/>
        </w:rPr>
        <w:t>En España, </w:t>
      </w:r>
      <w:proofErr w:type="spellStart"/>
      <w:r w:rsidR="000B1741">
        <w:fldChar w:fldCharType="begin"/>
      </w:r>
      <w:r w:rsidR="000B1741">
        <w:instrText xml:space="preserve"> HYPERLINK "https://www.adevinta.com/" \t "_blank" </w:instrText>
      </w:r>
      <w:r w:rsidR="000B1741">
        <w:fldChar w:fldCharType="separate"/>
      </w:r>
      <w:r w:rsidRPr="006722A1">
        <w:rPr>
          <w:rStyle w:val="Hipervnculo"/>
          <w:rFonts w:ascii="Open Sans" w:hAnsi="Open Sans" w:cs="Open Sans"/>
          <w:sz w:val="21"/>
          <w:szCs w:val="21"/>
        </w:rPr>
        <w:t>Adevinta</w:t>
      </w:r>
      <w:proofErr w:type="spellEnd"/>
      <w:r w:rsidR="000B1741">
        <w:rPr>
          <w:rStyle w:val="Hipervnculo"/>
          <w:rFonts w:ascii="Open Sans" w:hAnsi="Open Sans" w:cs="Open Sans"/>
          <w:sz w:val="21"/>
          <w:szCs w:val="21"/>
        </w:rPr>
        <w:fldChar w:fldCharType="end"/>
      </w:r>
      <w:r w:rsidRPr="006722A1">
        <w:rPr>
          <w:rFonts w:ascii="Open Sans" w:hAnsi="Open Sans" w:cs="Open Sans"/>
          <w:color w:val="000000"/>
          <w:sz w:val="21"/>
          <w:szCs w:val="21"/>
        </w:rPr>
        <w:t xml:space="preserve">, antes Schibsted </w:t>
      </w:r>
      <w:proofErr w:type="spellStart"/>
      <w:r w:rsidRPr="006722A1">
        <w:rPr>
          <w:rFonts w:ascii="Open Sans" w:hAnsi="Open Sans" w:cs="Open Sans"/>
          <w:color w:val="000000"/>
          <w:sz w:val="21"/>
          <w:szCs w:val="21"/>
        </w:rPr>
        <w:t>Spain</w:t>
      </w:r>
      <w:proofErr w:type="spellEnd"/>
      <w:r w:rsidRPr="006722A1">
        <w:rPr>
          <w:rFonts w:ascii="Open Sans" w:hAnsi="Open Sans" w:cs="Open Sans"/>
          <w:color w:val="000000"/>
          <w:sz w:val="21"/>
          <w:szCs w:val="21"/>
        </w:rPr>
        <w:t xml:space="preserve">, es una de las principales empresas del sector tecnológico del país y un referente de transformación digital. En sus 40 años de trayectoria en el mercado español de clasificados, los negocios de </w:t>
      </w:r>
      <w:proofErr w:type="spellStart"/>
      <w:r w:rsidRPr="006722A1">
        <w:rPr>
          <w:rFonts w:ascii="Open Sans" w:hAnsi="Open Sans" w:cs="Open Sans"/>
          <w:color w:val="000000"/>
          <w:sz w:val="21"/>
          <w:szCs w:val="21"/>
        </w:rPr>
        <w:t>Adevinta</w:t>
      </w:r>
      <w:proofErr w:type="spellEnd"/>
      <w:r w:rsidRPr="006722A1">
        <w:rPr>
          <w:rFonts w:ascii="Open Sans" w:hAnsi="Open Sans" w:cs="Open Sans"/>
          <w:color w:val="000000"/>
          <w:sz w:val="21"/>
          <w:szCs w:val="21"/>
        </w:rPr>
        <w:t xml:space="preserve"> han evolucionado del papel al online hasta convertirse en el referente de Internet en sectores relevantes como inmobiliaria (</w:t>
      </w:r>
      <w:hyperlink r:id="rId17" w:tgtFrame="_blank" w:history="1">
        <w:r w:rsidRPr="006722A1">
          <w:rPr>
            <w:rStyle w:val="Hipervnculo"/>
            <w:rFonts w:ascii="Open Sans" w:hAnsi="Open Sans" w:cs="Open Sans"/>
            <w:sz w:val="21"/>
            <w:szCs w:val="21"/>
          </w:rPr>
          <w:t>Fotocasa</w:t>
        </w:r>
      </w:hyperlink>
      <w:r w:rsidRPr="006722A1">
        <w:rPr>
          <w:rFonts w:ascii="Open Sans" w:hAnsi="Open Sans" w:cs="Open Sans"/>
          <w:color w:val="000000"/>
          <w:sz w:val="21"/>
          <w:szCs w:val="21"/>
        </w:rPr>
        <w:t> y </w:t>
      </w:r>
      <w:proofErr w:type="spellStart"/>
      <w:r w:rsidR="000B1741">
        <w:fldChar w:fldCharType="begin"/>
      </w:r>
      <w:r w:rsidR="000B1741">
        <w:instrText xml:space="preserve"> HYPERLINK "https://www.habitaclia.com/" \t "_blank" </w:instrText>
      </w:r>
      <w:r w:rsidR="000B1741">
        <w:fldChar w:fldCharType="separate"/>
      </w:r>
      <w:r w:rsidRPr="006722A1">
        <w:rPr>
          <w:rStyle w:val="Hipervnculo"/>
          <w:rFonts w:ascii="Open Sans" w:hAnsi="Open Sans" w:cs="Open Sans"/>
          <w:sz w:val="21"/>
          <w:szCs w:val="21"/>
        </w:rPr>
        <w:t>habitaclia</w:t>
      </w:r>
      <w:proofErr w:type="spellEnd"/>
      <w:r w:rsidR="000B1741">
        <w:rPr>
          <w:rStyle w:val="Hipervnculo"/>
          <w:rFonts w:ascii="Open Sans" w:hAnsi="Open Sans" w:cs="Open Sans"/>
          <w:sz w:val="21"/>
          <w:szCs w:val="21"/>
        </w:rPr>
        <w:fldChar w:fldCharType="end"/>
      </w:r>
      <w:r w:rsidRPr="006722A1">
        <w:rPr>
          <w:rFonts w:ascii="Open Sans" w:hAnsi="Open Sans" w:cs="Open Sans"/>
          <w:color w:val="000000"/>
          <w:sz w:val="21"/>
          <w:szCs w:val="21"/>
        </w:rPr>
        <w:t>), empleo (</w:t>
      </w:r>
      <w:hyperlink r:id="rId18" w:tgtFrame="_blank" w:history="1">
        <w:r w:rsidRPr="006722A1">
          <w:rPr>
            <w:rStyle w:val="Hipervnculo"/>
            <w:rFonts w:ascii="Open Sans" w:hAnsi="Open Sans" w:cs="Open Sans"/>
            <w:sz w:val="21"/>
            <w:szCs w:val="21"/>
          </w:rPr>
          <w:t>Infojobs.net</w:t>
        </w:r>
      </w:hyperlink>
      <w:r w:rsidRPr="006722A1">
        <w:rPr>
          <w:rFonts w:ascii="Open Sans" w:hAnsi="Open Sans" w:cs="Open Sans"/>
          <w:color w:val="000000"/>
          <w:sz w:val="21"/>
          <w:szCs w:val="21"/>
        </w:rPr>
        <w:t>), motor (</w:t>
      </w:r>
      <w:hyperlink r:id="rId19" w:tgtFrame="_blank" w:history="1">
        <w:r w:rsidRPr="006722A1">
          <w:rPr>
            <w:rStyle w:val="Hipervnculo"/>
            <w:rFonts w:ascii="Open Sans" w:hAnsi="Open Sans" w:cs="Open Sans"/>
            <w:sz w:val="21"/>
            <w:szCs w:val="21"/>
          </w:rPr>
          <w:t>coches.net</w:t>
        </w:r>
      </w:hyperlink>
      <w:r w:rsidRPr="006722A1">
        <w:rPr>
          <w:rFonts w:ascii="Open Sans" w:hAnsi="Open Sans" w:cs="Open Sans"/>
          <w:color w:val="000000"/>
          <w:sz w:val="21"/>
          <w:szCs w:val="21"/>
        </w:rPr>
        <w:t> y </w:t>
      </w:r>
      <w:hyperlink r:id="rId20" w:tgtFrame="_blank" w:history="1">
        <w:r w:rsidRPr="006722A1">
          <w:rPr>
            <w:rStyle w:val="Hipervnculo"/>
            <w:rFonts w:ascii="Open Sans" w:hAnsi="Open Sans" w:cs="Open Sans"/>
            <w:sz w:val="21"/>
            <w:szCs w:val="21"/>
          </w:rPr>
          <w:t>motos.ne</w:t>
        </w:r>
      </w:hyperlink>
      <w:r w:rsidRPr="006722A1">
        <w:rPr>
          <w:rFonts w:ascii="Open Sans" w:hAnsi="Open Sans" w:cs="Open Sans"/>
          <w:color w:val="000000"/>
          <w:sz w:val="21"/>
          <w:szCs w:val="21"/>
        </w:rPr>
        <w:t>t) y segunda mano (</w:t>
      </w:r>
      <w:proofErr w:type="spellStart"/>
      <w:r w:rsidR="000B1741">
        <w:fldChar w:fldCharType="begin"/>
      </w:r>
      <w:r w:rsidR="000B1741">
        <w:instrText xml:space="preserve"> HYPERLINK "https://www.milanuncios.es/" \t "_blank" </w:instrText>
      </w:r>
      <w:r w:rsidR="000B1741">
        <w:fldChar w:fldCharType="separate"/>
      </w:r>
      <w:r w:rsidRPr="006722A1">
        <w:rPr>
          <w:rStyle w:val="Hipervnculo"/>
          <w:rFonts w:ascii="Open Sans" w:hAnsi="Open Sans" w:cs="Open Sans"/>
          <w:sz w:val="21"/>
          <w:szCs w:val="21"/>
        </w:rPr>
        <w:t>Milanuncios</w:t>
      </w:r>
      <w:proofErr w:type="spellEnd"/>
      <w:r w:rsidR="000B1741">
        <w:rPr>
          <w:rStyle w:val="Hipervnculo"/>
          <w:rFonts w:ascii="Open Sans" w:hAnsi="Open Sans" w:cs="Open Sans"/>
          <w:sz w:val="21"/>
          <w:szCs w:val="21"/>
        </w:rPr>
        <w:fldChar w:fldCharType="end"/>
      </w:r>
      <w:r w:rsidRPr="006722A1">
        <w:rPr>
          <w:rFonts w:ascii="Open Sans" w:hAnsi="Open Sans" w:cs="Open Sans"/>
          <w:color w:val="000000"/>
          <w:sz w:val="21"/>
          <w:szCs w:val="21"/>
        </w:rPr>
        <w:t> y </w:t>
      </w:r>
      <w:proofErr w:type="spellStart"/>
      <w:r w:rsidR="000B1741">
        <w:fldChar w:fldCharType="begin"/>
      </w:r>
      <w:r w:rsidR="000B1741">
        <w:instrText xml:space="preserve"> HYPERLINK "https://www.vibbo.com/" \t "_blank" </w:instrText>
      </w:r>
      <w:r w:rsidR="000B1741">
        <w:fldChar w:fldCharType="separate"/>
      </w:r>
      <w:r w:rsidRPr="006722A1">
        <w:rPr>
          <w:rStyle w:val="Hipervnculo"/>
          <w:rFonts w:ascii="Open Sans" w:hAnsi="Open Sans" w:cs="Open Sans"/>
          <w:sz w:val="21"/>
          <w:szCs w:val="21"/>
        </w:rPr>
        <w:t>vibbo</w:t>
      </w:r>
      <w:proofErr w:type="spellEnd"/>
      <w:r w:rsidR="000B1741">
        <w:rPr>
          <w:rStyle w:val="Hipervnculo"/>
          <w:rFonts w:ascii="Open Sans" w:hAnsi="Open Sans" w:cs="Open Sans"/>
          <w:sz w:val="21"/>
          <w:szCs w:val="21"/>
        </w:rPr>
        <w:fldChar w:fldCharType="end"/>
      </w:r>
      <w:r w:rsidRPr="006722A1">
        <w:rPr>
          <w:rFonts w:ascii="Open Sans" w:hAnsi="Open Sans" w:cs="Open Sans"/>
          <w:color w:val="000000"/>
          <w:sz w:val="21"/>
          <w:szCs w:val="21"/>
        </w:rPr>
        <w:t xml:space="preserve">). Sus más de 18 millones de usuarios al mes sitúan </w:t>
      </w:r>
      <w:proofErr w:type="spellStart"/>
      <w:r w:rsidRPr="006722A1">
        <w:rPr>
          <w:rFonts w:ascii="Open Sans" w:hAnsi="Open Sans" w:cs="Open Sans"/>
          <w:color w:val="000000"/>
          <w:sz w:val="21"/>
          <w:szCs w:val="21"/>
        </w:rPr>
        <w:t>Adevinta</w:t>
      </w:r>
      <w:proofErr w:type="spellEnd"/>
      <w:r w:rsidRPr="006722A1">
        <w:rPr>
          <w:rFonts w:ascii="Open Sans" w:hAnsi="Open Sans" w:cs="Open Sans"/>
          <w:color w:val="000000"/>
          <w:sz w:val="21"/>
          <w:szCs w:val="21"/>
        </w:rPr>
        <w:t xml:space="preserve"> entre las diez compañías con mayor audiencia de Internet en España (y la mayor empresa digital española). </w:t>
      </w:r>
      <w:proofErr w:type="spellStart"/>
      <w:r w:rsidRPr="006722A1">
        <w:rPr>
          <w:rFonts w:ascii="Open Sans" w:hAnsi="Open Sans" w:cs="Open Sans"/>
          <w:color w:val="000000"/>
          <w:sz w:val="21"/>
          <w:szCs w:val="21"/>
        </w:rPr>
        <w:t>Adevinta</w:t>
      </w:r>
      <w:proofErr w:type="spellEnd"/>
      <w:r w:rsidRPr="006722A1">
        <w:rPr>
          <w:rFonts w:ascii="Open Sans" w:hAnsi="Open Sans" w:cs="Open Sans"/>
          <w:color w:val="000000"/>
          <w:sz w:val="21"/>
          <w:szCs w:val="21"/>
        </w:rPr>
        <w:t xml:space="preserve"> cuenta en la actualidad con una plantilla de más de 1.000 empleados en España. </w:t>
      </w:r>
    </w:p>
    <w:p w14:paraId="3ABBEE26" w14:textId="77777777" w:rsidR="004C1FF5" w:rsidRPr="00B41A97" w:rsidRDefault="004C1FF5"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p>
    <w:p w14:paraId="56ABFA26" w14:textId="77777777" w:rsidR="004C1FF5" w:rsidRPr="00B41A97" w:rsidRDefault="004C1FF5" w:rsidP="004C1FF5">
      <w:pPr>
        <w:spacing w:line="276" w:lineRule="auto"/>
        <w:ind w:right="-574"/>
        <w:jc w:val="right"/>
        <w:rPr>
          <w:rFonts w:ascii="Open Sans Light" w:hAnsi="Open Sans Light" w:cs="Open Sans Light"/>
          <w:b/>
          <w:iCs/>
          <w:color w:val="303AB2"/>
          <w:szCs w:val="20"/>
          <w:lang w:val="es-ES"/>
        </w:rPr>
      </w:pPr>
      <w:r w:rsidRPr="00B41A97">
        <w:rPr>
          <w:rFonts w:ascii="Open Sans Light" w:hAnsi="Open Sans Light" w:cs="Open Sans Light"/>
          <w:b/>
          <w:iCs/>
          <w:color w:val="303AB2"/>
          <w:szCs w:val="20"/>
          <w:lang w:val="es-ES"/>
        </w:rPr>
        <w:t>D</w:t>
      </w:r>
      <w:r>
        <w:rPr>
          <w:rFonts w:ascii="Open Sans Light" w:hAnsi="Open Sans Light" w:cs="Open Sans Light"/>
          <w:b/>
          <w:iCs/>
          <w:color w:val="303AB2"/>
          <w:szCs w:val="20"/>
          <w:lang w:val="es-ES"/>
        </w:rPr>
        <w:t>epartamento de Comunicación de F</w:t>
      </w:r>
      <w:r w:rsidRPr="00B41A97">
        <w:rPr>
          <w:rFonts w:ascii="Open Sans Light" w:hAnsi="Open Sans Light" w:cs="Open Sans Light"/>
          <w:b/>
          <w:iCs/>
          <w:color w:val="303AB2"/>
          <w:szCs w:val="20"/>
          <w:lang w:val="es-ES"/>
        </w:rPr>
        <w:t>otocasa</w:t>
      </w:r>
    </w:p>
    <w:p w14:paraId="1EA8758C" w14:textId="77777777" w:rsidR="004C1FF5" w:rsidRPr="00B41A97" w:rsidRDefault="004C1FF5" w:rsidP="004C1FF5">
      <w:pPr>
        <w:pStyle w:val="NormalWeb"/>
        <w:shd w:val="clear" w:color="auto" w:fill="FFFFFF"/>
        <w:spacing w:before="0" w:beforeAutospacing="0" w:after="0" w:afterAutospacing="0" w:line="276" w:lineRule="auto"/>
        <w:ind w:right="-574"/>
        <w:jc w:val="right"/>
        <w:rPr>
          <w:rFonts w:ascii="Open Sans" w:hAnsi="Open Sans" w:cs="Open Sans"/>
          <w:b/>
          <w:bCs/>
          <w:color w:val="000000"/>
          <w:sz w:val="21"/>
          <w:szCs w:val="21"/>
        </w:rPr>
      </w:pPr>
      <w:r w:rsidRPr="00B41A97">
        <w:rPr>
          <w:rFonts w:ascii="Open Sans" w:hAnsi="Open Sans" w:cs="Open Sans"/>
          <w:b/>
          <w:bCs/>
          <w:color w:val="000000"/>
          <w:sz w:val="21"/>
          <w:szCs w:val="21"/>
        </w:rPr>
        <w:t>Anaïs López</w:t>
      </w:r>
    </w:p>
    <w:p w14:paraId="3FB24B5C" w14:textId="77777777" w:rsidR="004C1FF5" w:rsidRPr="00B41A97" w:rsidRDefault="004C1FF5"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B41A97">
        <w:rPr>
          <w:rFonts w:ascii="Open Sans" w:hAnsi="Open Sans" w:cs="Open Sans"/>
          <w:color w:val="000000"/>
          <w:sz w:val="21"/>
          <w:szCs w:val="21"/>
        </w:rPr>
        <w:t>Tlf.: 93 576 56 79</w:t>
      </w:r>
    </w:p>
    <w:p w14:paraId="3601D78C" w14:textId="77777777" w:rsidR="004C1FF5" w:rsidRPr="00B41A97" w:rsidRDefault="004C1FF5"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B41A97">
        <w:rPr>
          <w:rFonts w:ascii="Open Sans" w:hAnsi="Open Sans" w:cs="Open Sans"/>
          <w:color w:val="000000"/>
          <w:sz w:val="21"/>
          <w:szCs w:val="21"/>
        </w:rPr>
        <w:t>Móvil: 620 66 29 26</w:t>
      </w:r>
    </w:p>
    <w:p w14:paraId="7FB6E880" w14:textId="77777777" w:rsidR="004C1FF5" w:rsidRPr="00B41A97" w:rsidRDefault="00333024"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21" w:history="1">
        <w:r w:rsidR="004C1FF5" w:rsidRPr="00B41A97">
          <w:rPr>
            <w:rStyle w:val="Hipervnculo"/>
            <w:rFonts w:ascii="Open Sans" w:hAnsi="Open Sans" w:cs="Open Sans"/>
            <w:sz w:val="21"/>
            <w:szCs w:val="21"/>
          </w:rPr>
          <w:t>comunicacion@fotocasa.es</w:t>
        </w:r>
      </w:hyperlink>
    </w:p>
    <w:p w14:paraId="2702841E" w14:textId="77777777" w:rsidR="004C1FF5" w:rsidRPr="00B41A97" w:rsidRDefault="00333024"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22" w:history="1">
        <w:r w:rsidR="004C1FF5" w:rsidRPr="00B41A97">
          <w:rPr>
            <w:rStyle w:val="Hipervnculo"/>
            <w:rFonts w:ascii="Open Sans" w:hAnsi="Open Sans" w:cs="Open Sans"/>
            <w:sz w:val="21"/>
            <w:szCs w:val="21"/>
          </w:rPr>
          <w:t>http://prensa.fotocasa.es</w:t>
        </w:r>
      </w:hyperlink>
    </w:p>
    <w:p w14:paraId="26933211" w14:textId="77777777" w:rsidR="004C1FF5" w:rsidRPr="00010ECE" w:rsidRDefault="004C1FF5" w:rsidP="004C1FF5">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proofErr w:type="spellStart"/>
      <w:r w:rsidRPr="00B41A97">
        <w:rPr>
          <w:rFonts w:ascii="Open Sans" w:hAnsi="Open Sans" w:cs="Open Sans"/>
          <w:color w:val="000000"/>
          <w:sz w:val="21"/>
          <w:szCs w:val="21"/>
        </w:rPr>
        <w:t>twitter</w:t>
      </w:r>
      <w:proofErr w:type="spellEnd"/>
      <w:r w:rsidRPr="00B41A97">
        <w:rPr>
          <w:rFonts w:ascii="Open Sans" w:hAnsi="Open Sans" w:cs="Open Sans"/>
          <w:color w:val="000000"/>
          <w:sz w:val="21"/>
          <w:szCs w:val="21"/>
        </w:rPr>
        <w:t>: @</w:t>
      </w:r>
      <w:proofErr w:type="spellStart"/>
      <w:r w:rsidRPr="00B41A97">
        <w:rPr>
          <w:rFonts w:ascii="Open Sans" w:hAnsi="Open Sans" w:cs="Open Sans"/>
          <w:color w:val="000000"/>
          <w:sz w:val="21"/>
          <w:szCs w:val="21"/>
        </w:rPr>
        <w:t>fotocasa</w:t>
      </w:r>
      <w:proofErr w:type="spellEnd"/>
    </w:p>
    <w:sectPr w:rsidR="004C1FF5" w:rsidRPr="00010ECE" w:rsidSect="00ED33D5">
      <w:footerReference w:type="default" r:id="rId2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EBF3" w14:textId="77777777" w:rsidR="001F1FFC" w:rsidRDefault="001F1FFC">
      <w:r>
        <w:separator/>
      </w:r>
    </w:p>
  </w:endnote>
  <w:endnote w:type="continuationSeparator" w:id="0">
    <w:p w14:paraId="0372A577" w14:textId="77777777" w:rsidR="001F1FFC" w:rsidRDefault="001F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altName w:val="Corbel"/>
    <w:panose1 w:val="00000000000000000000"/>
    <w:charset w:val="4D"/>
    <w:family w:val="auto"/>
    <w:notTrueType/>
    <w:pitch w:val="variable"/>
    <w:sig w:usb0="00000001" w:usb1="5000207B" w:usb2="00000010" w:usb3="00000000" w:csb0="0000009B"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2B6E" w14:textId="77777777" w:rsidR="001F1FFC" w:rsidRDefault="001F1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6960" w14:textId="77777777" w:rsidR="001F1FFC" w:rsidRDefault="001F1FFC">
      <w:r>
        <w:separator/>
      </w:r>
    </w:p>
  </w:footnote>
  <w:footnote w:type="continuationSeparator" w:id="0">
    <w:p w14:paraId="2C62ED42" w14:textId="77777777" w:rsidR="001F1FFC" w:rsidRDefault="001F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4E6B"/>
    <w:multiLevelType w:val="hybridMultilevel"/>
    <w:tmpl w:val="47F60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53"/>
    <w:rsid w:val="000437BB"/>
    <w:rsid w:val="000817A5"/>
    <w:rsid w:val="00087FBC"/>
    <w:rsid w:val="000B1741"/>
    <w:rsid w:val="000F6439"/>
    <w:rsid w:val="001012AC"/>
    <w:rsid w:val="00125207"/>
    <w:rsid w:val="00131384"/>
    <w:rsid w:val="0013257F"/>
    <w:rsid w:val="001464C5"/>
    <w:rsid w:val="001721CB"/>
    <w:rsid w:val="001749CB"/>
    <w:rsid w:val="00183761"/>
    <w:rsid w:val="00193448"/>
    <w:rsid w:val="001C3B6A"/>
    <w:rsid w:val="001E1AEB"/>
    <w:rsid w:val="001E7A4B"/>
    <w:rsid w:val="001E7E9B"/>
    <w:rsid w:val="001F1FFC"/>
    <w:rsid w:val="00206EE2"/>
    <w:rsid w:val="002B3A02"/>
    <w:rsid w:val="002C1729"/>
    <w:rsid w:val="002F1942"/>
    <w:rsid w:val="00326C78"/>
    <w:rsid w:val="00333024"/>
    <w:rsid w:val="003551A5"/>
    <w:rsid w:val="00355CEF"/>
    <w:rsid w:val="00356E76"/>
    <w:rsid w:val="0037277E"/>
    <w:rsid w:val="003903D5"/>
    <w:rsid w:val="00390D76"/>
    <w:rsid w:val="003D3C30"/>
    <w:rsid w:val="0040031E"/>
    <w:rsid w:val="00410E7E"/>
    <w:rsid w:val="004256CE"/>
    <w:rsid w:val="004A7150"/>
    <w:rsid w:val="004B17BE"/>
    <w:rsid w:val="004C1FF5"/>
    <w:rsid w:val="004C67DE"/>
    <w:rsid w:val="004F06DE"/>
    <w:rsid w:val="00500E90"/>
    <w:rsid w:val="00540243"/>
    <w:rsid w:val="00543129"/>
    <w:rsid w:val="005673F2"/>
    <w:rsid w:val="005822BB"/>
    <w:rsid w:val="005B335C"/>
    <w:rsid w:val="005F60EE"/>
    <w:rsid w:val="006052EC"/>
    <w:rsid w:val="00610917"/>
    <w:rsid w:val="00611AD3"/>
    <w:rsid w:val="006418B7"/>
    <w:rsid w:val="00654E91"/>
    <w:rsid w:val="00661AFA"/>
    <w:rsid w:val="006762AD"/>
    <w:rsid w:val="0068178C"/>
    <w:rsid w:val="0068186B"/>
    <w:rsid w:val="006D180D"/>
    <w:rsid w:val="00735DA4"/>
    <w:rsid w:val="007521EA"/>
    <w:rsid w:val="007A5284"/>
    <w:rsid w:val="00810401"/>
    <w:rsid w:val="008166B8"/>
    <w:rsid w:val="008364BD"/>
    <w:rsid w:val="00837570"/>
    <w:rsid w:val="00843EE7"/>
    <w:rsid w:val="00866E0D"/>
    <w:rsid w:val="008B228B"/>
    <w:rsid w:val="008D7F20"/>
    <w:rsid w:val="00911D2E"/>
    <w:rsid w:val="00953F07"/>
    <w:rsid w:val="00972CBE"/>
    <w:rsid w:val="0098295A"/>
    <w:rsid w:val="009E0905"/>
    <w:rsid w:val="009E295E"/>
    <w:rsid w:val="00A524EE"/>
    <w:rsid w:val="00A56D76"/>
    <w:rsid w:val="00A83E4D"/>
    <w:rsid w:val="00AD5051"/>
    <w:rsid w:val="00AF62E5"/>
    <w:rsid w:val="00B01FD5"/>
    <w:rsid w:val="00B11292"/>
    <w:rsid w:val="00B26924"/>
    <w:rsid w:val="00B41B8C"/>
    <w:rsid w:val="00B7115C"/>
    <w:rsid w:val="00B720C4"/>
    <w:rsid w:val="00BD7B74"/>
    <w:rsid w:val="00BF0E75"/>
    <w:rsid w:val="00C025C1"/>
    <w:rsid w:val="00C05223"/>
    <w:rsid w:val="00C15353"/>
    <w:rsid w:val="00C34773"/>
    <w:rsid w:val="00C417A8"/>
    <w:rsid w:val="00C5673A"/>
    <w:rsid w:val="00C701BF"/>
    <w:rsid w:val="00C769F5"/>
    <w:rsid w:val="00CC63FC"/>
    <w:rsid w:val="00CD05E6"/>
    <w:rsid w:val="00D52986"/>
    <w:rsid w:val="00D532AE"/>
    <w:rsid w:val="00D91516"/>
    <w:rsid w:val="00DC2883"/>
    <w:rsid w:val="00DD15DC"/>
    <w:rsid w:val="00E01B8F"/>
    <w:rsid w:val="00E52918"/>
    <w:rsid w:val="00E53D07"/>
    <w:rsid w:val="00E65FF6"/>
    <w:rsid w:val="00E96A6D"/>
    <w:rsid w:val="00EB31D6"/>
    <w:rsid w:val="00ED33D5"/>
    <w:rsid w:val="00EF0EBB"/>
    <w:rsid w:val="00F16A77"/>
    <w:rsid w:val="00F22AB6"/>
    <w:rsid w:val="00F6074B"/>
    <w:rsid w:val="00F67A53"/>
    <w:rsid w:val="00F77ADC"/>
    <w:rsid w:val="00FA19E6"/>
    <w:rsid w:val="00FE2020"/>
    <w:rsid w:val="00FE4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1DD7"/>
  <w15:chartTrackingRefBased/>
  <w15:docId w15:val="{E86788C3-C3E6-41E2-AF55-79FE7FB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353"/>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5353"/>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C15353"/>
    <w:pPr>
      <w:tabs>
        <w:tab w:val="center" w:pos="4252"/>
        <w:tab w:val="right" w:pos="8504"/>
      </w:tabs>
    </w:pPr>
  </w:style>
  <w:style w:type="character" w:customStyle="1" w:styleId="EncabezadoCar">
    <w:name w:val="Encabezado Car"/>
    <w:basedOn w:val="Fuentedeprrafopredeter"/>
    <w:link w:val="Encabezado"/>
    <w:uiPriority w:val="99"/>
    <w:rsid w:val="00C15353"/>
    <w:rPr>
      <w:sz w:val="24"/>
      <w:szCs w:val="24"/>
      <w:lang w:val="es-ES_tradnl"/>
    </w:rPr>
  </w:style>
  <w:style w:type="paragraph" w:styleId="Piedepgina">
    <w:name w:val="footer"/>
    <w:basedOn w:val="Normal"/>
    <w:link w:val="PiedepginaCar"/>
    <w:uiPriority w:val="99"/>
    <w:unhideWhenUsed/>
    <w:rsid w:val="00C15353"/>
    <w:pPr>
      <w:tabs>
        <w:tab w:val="center" w:pos="4252"/>
        <w:tab w:val="right" w:pos="8504"/>
      </w:tabs>
    </w:pPr>
  </w:style>
  <w:style w:type="character" w:customStyle="1" w:styleId="PiedepginaCar">
    <w:name w:val="Pie de página Car"/>
    <w:basedOn w:val="Fuentedeprrafopredeter"/>
    <w:link w:val="Piedepgina"/>
    <w:uiPriority w:val="99"/>
    <w:rsid w:val="00C15353"/>
    <w:rPr>
      <w:sz w:val="24"/>
      <w:szCs w:val="24"/>
      <w:lang w:val="es-ES_tradnl"/>
    </w:rPr>
  </w:style>
  <w:style w:type="character" w:styleId="Hipervnculo">
    <w:name w:val="Hyperlink"/>
    <w:basedOn w:val="Fuentedeprrafopredeter"/>
    <w:uiPriority w:val="99"/>
    <w:unhideWhenUsed/>
    <w:rsid w:val="00C15353"/>
    <w:rPr>
      <w:color w:val="0000FF"/>
      <w:u w:val="single"/>
    </w:rPr>
  </w:style>
  <w:style w:type="paragraph" w:styleId="Prrafodelista">
    <w:name w:val="List Paragraph"/>
    <w:basedOn w:val="Normal"/>
    <w:uiPriority w:val="34"/>
    <w:qFormat/>
    <w:rsid w:val="00C15353"/>
    <w:pPr>
      <w:ind w:left="720"/>
      <w:contextualSpacing/>
    </w:pPr>
  </w:style>
  <w:style w:type="table" w:customStyle="1" w:styleId="Tabladecuadrcula5oscura-nfasis11">
    <w:name w:val="Tabla de cuadrícula 5 oscura - Énfasis 11"/>
    <w:basedOn w:val="Tablanormal"/>
    <w:uiPriority w:val="50"/>
    <w:rsid w:val="00C15353"/>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deglobo">
    <w:name w:val="Balloon Text"/>
    <w:basedOn w:val="Normal"/>
    <w:link w:val="TextodegloboCar"/>
    <w:uiPriority w:val="99"/>
    <w:semiHidden/>
    <w:unhideWhenUsed/>
    <w:rsid w:val="00C153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353"/>
    <w:rPr>
      <w:rFonts w:ascii="Segoe UI" w:hAnsi="Segoe UI" w:cs="Segoe UI"/>
      <w:sz w:val="18"/>
      <w:szCs w:val="18"/>
      <w:lang w:val="es-ES_tradnl"/>
    </w:rPr>
  </w:style>
  <w:style w:type="character" w:customStyle="1" w:styleId="m6445620330082090912gmail-msohyperlink">
    <w:name w:val="m_6445620330082090912gmail-msohyperlink"/>
    <w:basedOn w:val="Fuentedeprrafopredeter"/>
    <w:rsid w:val="00C15353"/>
  </w:style>
  <w:style w:type="table" w:styleId="Tablaconcuadrcula5oscura-nfasis3">
    <w:name w:val="Grid Table 5 Dark Accent 3"/>
    <w:basedOn w:val="Tablanormal"/>
    <w:uiPriority w:val="50"/>
    <w:rsid w:val="00C15353"/>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tocasa.es" TargetMode="External"/><Relationship Id="rId13" Type="http://schemas.openxmlformats.org/officeDocument/2006/relationships/hyperlink" Target="https://www.fotocasa.es" TargetMode="External"/><Relationship Id="rId18" Type="http://schemas.openxmlformats.org/officeDocument/2006/relationships/hyperlink" Target="https://www.infojobs.net/" TargetMode="External"/><Relationship Id="rId3" Type="http://schemas.openxmlformats.org/officeDocument/2006/relationships/settings" Target="settings.xml"/><Relationship Id="rId21" Type="http://schemas.openxmlformats.org/officeDocument/2006/relationships/hyperlink" Target="file:///\\servidor\Users\Techsales%20Comunicaci&#243;n\CLIENTES\Fotocasa\fotocasa%202018\NP%20&#205;NDICES\10%20Ndp%20&#237;ndices%20Octubre\Venta%20Octubre%202018\comunicacion@fotocasa.es" TargetMode="External"/><Relationship Id="rId7" Type="http://schemas.openxmlformats.org/officeDocument/2006/relationships/image" Target="media/image1.png"/><Relationship Id="rId12" Type="http://schemas.openxmlformats.org/officeDocument/2006/relationships/hyperlink" Target="https://www.fotocasa.es" TargetMode="External"/><Relationship Id="rId17" Type="http://schemas.openxmlformats.org/officeDocument/2006/relationships/hyperlink" Target="http://www.fotocasa.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tocasa.es/" TargetMode="External"/><Relationship Id="rId20" Type="http://schemas.openxmlformats.org/officeDocument/2006/relationships/hyperlink" Target="https://motos.coch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tocasa.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tocasa.es/indice/"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coches.net/" TargetMode="External"/><Relationship Id="rId4" Type="http://schemas.openxmlformats.org/officeDocument/2006/relationships/webSettings" Target="webSettings.xml"/><Relationship Id="rId9" Type="http://schemas.openxmlformats.org/officeDocument/2006/relationships/hyperlink" Target="https://www.fotocasa.es" TargetMode="External"/><Relationship Id="rId14" Type="http://schemas.openxmlformats.org/officeDocument/2006/relationships/hyperlink" Target="https://www.fotocasa.es" TargetMode="External"/><Relationship Id="rId22" Type="http://schemas.openxmlformats.org/officeDocument/2006/relationships/hyperlink" Target="http://prensa.fotocasa.e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prani\Google%20Drive\PATRI%20Y%20ELENA\001%20CLIENTES\01-SCHIBSTED\03-NOTAS%20DE%20PRENSA\01-VENTA\2019\06-JUNIO\GRAFICAS%20S1-2019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ivotFmts>
      <c:pivotFmt>
        <c:idx val="0"/>
        <c:spPr>
          <a:solidFill>
            <a:schemeClr val="accent5">
              <a:lumMod val="40000"/>
              <a:lumOff val="60000"/>
            </a:schemeClr>
          </a:solidFill>
          <a:ln>
            <a:noFill/>
          </a:ln>
          <a:effectLst/>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61C2C7"/>
          </a:solidFill>
          <a:ln>
            <a:noFill/>
          </a:ln>
          <a:effectLst/>
        </c:spPr>
        <c:marker>
          <c:symbol val="none"/>
        </c:marker>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2"/>
        <c:spPr>
          <a:solidFill>
            <a:schemeClr val="accent5">
              <a:lumMod val="75000"/>
            </a:schemeClr>
          </a:solidFill>
          <a:ln cap="rnd">
            <a:solidFill>
              <a:schemeClr val="accent5">
                <a:lumMod val="75000"/>
              </a:schemeClr>
            </a:solidFill>
          </a:ln>
          <a:effectLst/>
          <a:scene3d>
            <a:camera prst="orthographicFront"/>
            <a:lightRig rig="threePt" dir="t"/>
          </a:scene3d>
          <a:sp3d/>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4"/>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5"/>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6"/>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7"/>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8"/>
        <c:dLbl>
          <c:idx val="0"/>
          <c:numFmt formatCode="#,##0.0\ &quot;%&quot;"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1"/>
          <c:showVal val="1"/>
          <c:showCatName val="1"/>
          <c:showSerName val="1"/>
          <c:showPercent val="1"/>
          <c:showBubbleSize val="1"/>
          <c:extLst>
            <c:ext xmlns:c15="http://schemas.microsoft.com/office/drawing/2012/chart" uri="{CE6537A1-D6FC-4f65-9D91-7224C49458BB}"/>
          </c:extLst>
        </c:dLbl>
      </c:pivotFmt>
      <c:pivotFmt>
        <c:idx val="9"/>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10"/>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11"/>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s>
    <c:plotArea>
      <c:layout>
        <c:manualLayout>
          <c:layoutTarget val="inner"/>
          <c:xMode val="edge"/>
          <c:yMode val="edge"/>
          <c:x val="4.605375202992458E-2"/>
          <c:y val="2.1075968528801971E-2"/>
          <c:w val="0.89913341540741254"/>
          <c:h val="0.73642482919207086"/>
        </c:manualLayout>
      </c:layout>
      <c:barChart>
        <c:barDir val="col"/>
        <c:grouping val="clustered"/>
        <c:varyColors val="0"/>
        <c:ser>
          <c:idx val="0"/>
          <c:order val="0"/>
          <c:tx>
            <c:strRef>
              <c:f>'GRAFICA 3'!$C$50</c:f>
              <c:strCache>
                <c:ptCount val="1"/>
                <c:pt idx="0">
                  <c:v>  Variación trimestral </c:v>
                </c:pt>
              </c:strCache>
            </c:strRef>
          </c:tx>
          <c:spPr>
            <a:solidFill>
              <a:schemeClr val="accent5">
                <a:lumMod val="40000"/>
                <a:lumOff val="60000"/>
              </a:schemeClr>
            </a:solidFill>
            <a:ln>
              <a:noFill/>
            </a:ln>
            <a:effectLst/>
          </c:spPr>
          <c:invertIfNegative val="0"/>
          <c:dLbls>
            <c:dLbl>
              <c:idx val="1"/>
              <c:layout>
                <c:manualLayout>
                  <c:x val="-3.0905075830186587E-2"/>
                  <c:y val="-2.93501077287615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E6-4949-B6F4-CA09F25DBAF3}"/>
                </c:ext>
              </c:extLst>
            </c:dLbl>
            <c:dLbl>
              <c:idx val="2"/>
              <c:layout>
                <c:manualLayout>
                  <c:x val="-3.0905075830186587E-2"/>
                  <c:y val="-2.93501077287616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E6-4949-B6F4-CA09F25DBAF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'GRAFICA 3'!$A$51:$B$55</c:f>
              <c:multiLvlStrCache>
                <c:ptCount val="5"/>
                <c:lvl>
                  <c:pt idx="0">
                    <c:v>jun</c:v>
                  </c:pt>
                  <c:pt idx="1">
                    <c:v>jun</c:v>
                  </c:pt>
                  <c:pt idx="2">
                    <c:v>jun</c:v>
                  </c:pt>
                  <c:pt idx="3">
                    <c:v>jun</c:v>
                  </c:pt>
                  <c:pt idx="4">
                    <c:v>jun</c:v>
                  </c:pt>
                </c:lvl>
                <c:lvl>
                  <c:pt idx="0">
                    <c:v> 2015 </c:v>
                  </c:pt>
                  <c:pt idx="1">
                    <c:v> 2016 </c:v>
                  </c:pt>
                  <c:pt idx="2">
                    <c:v> 2017 </c:v>
                  </c:pt>
                  <c:pt idx="3">
                    <c:v> 2018 </c:v>
                  </c:pt>
                  <c:pt idx="4">
                    <c:v> 2019 </c:v>
                  </c:pt>
                </c:lvl>
              </c:multiLvlStrCache>
            </c:multiLvlStrRef>
          </c:cat>
          <c:val>
            <c:numRef>
              <c:f>'GRAFICA 3'!$C$51:$C$55</c:f>
              <c:numCache>
                <c:formatCode>#,##0.0\ "%"</c:formatCode>
                <c:ptCount val="5"/>
                <c:pt idx="0">
                  <c:v>1.0675290306700447</c:v>
                </c:pt>
                <c:pt idx="1">
                  <c:v>-0.42480706154588432</c:v>
                </c:pt>
                <c:pt idx="2">
                  <c:v>1.7888681856617961</c:v>
                </c:pt>
                <c:pt idx="3">
                  <c:v>3.0334305077088564</c:v>
                </c:pt>
                <c:pt idx="4">
                  <c:v>0.50309999999999999</c:v>
                </c:pt>
              </c:numCache>
            </c:numRef>
          </c:val>
          <c:extLst>
            <c:ext xmlns:c16="http://schemas.microsoft.com/office/drawing/2014/chart" uri="{C3380CC4-5D6E-409C-BE32-E72D297353CC}">
              <c16:uniqueId val="{00000002-4EE6-4949-B6F4-CA09F25DBAF3}"/>
            </c:ext>
          </c:extLst>
        </c:ser>
        <c:ser>
          <c:idx val="1"/>
          <c:order val="1"/>
          <c:tx>
            <c:strRef>
              <c:f>'GRAFICA 3'!$D$50</c:f>
              <c:strCache>
                <c:ptCount val="1"/>
                <c:pt idx="0">
                  <c:v>  %  semestral </c:v>
                </c:pt>
              </c:strCache>
            </c:strRef>
          </c:tx>
          <c:spPr>
            <a:solidFill>
              <a:srgbClr val="61C2C7"/>
            </a:solidFill>
            <a:ln>
              <a:noFill/>
            </a:ln>
            <a:effectLst/>
          </c:spPr>
          <c:invertIfNegative val="0"/>
          <c:dLbls>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flowChartConnector">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'GRAFICA 3'!$A$51:$B$55</c:f>
              <c:multiLvlStrCache>
                <c:ptCount val="5"/>
                <c:lvl>
                  <c:pt idx="0">
                    <c:v>jun</c:v>
                  </c:pt>
                  <c:pt idx="1">
                    <c:v>jun</c:v>
                  </c:pt>
                  <c:pt idx="2">
                    <c:v>jun</c:v>
                  </c:pt>
                  <c:pt idx="3">
                    <c:v>jun</c:v>
                  </c:pt>
                  <c:pt idx="4">
                    <c:v>jun</c:v>
                  </c:pt>
                </c:lvl>
                <c:lvl>
                  <c:pt idx="0">
                    <c:v> 2015 </c:v>
                  </c:pt>
                  <c:pt idx="1">
                    <c:v> 2016 </c:v>
                  </c:pt>
                  <c:pt idx="2">
                    <c:v> 2017 </c:v>
                  </c:pt>
                  <c:pt idx="3">
                    <c:v> 2018 </c:v>
                  </c:pt>
                  <c:pt idx="4">
                    <c:v> 2019 </c:v>
                  </c:pt>
                </c:lvl>
              </c:multiLvlStrCache>
            </c:multiLvlStrRef>
          </c:cat>
          <c:val>
            <c:numRef>
              <c:f>'GRAFICA 3'!$D$51:$D$55</c:f>
              <c:numCache>
                <c:formatCode>#,##0.0\ "%"</c:formatCode>
                <c:ptCount val="5"/>
                <c:pt idx="0">
                  <c:v>0.21064143774549571</c:v>
                </c:pt>
                <c:pt idx="1">
                  <c:v>0.10390179813408729</c:v>
                </c:pt>
                <c:pt idx="2">
                  <c:v>2.7012267902921216</c:v>
                </c:pt>
                <c:pt idx="3">
                  <c:v>4.1545562061903407</c:v>
                </c:pt>
                <c:pt idx="4">
                  <c:v>2.1694701771276304</c:v>
                </c:pt>
              </c:numCache>
            </c:numRef>
          </c:val>
          <c:extLst>
            <c:ext xmlns:c16="http://schemas.microsoft.com/office/drawing/2014/chart" uri="{C3380CC4-5D6E-409C-BE32-E72D297353CC}">
              <c16:uniqueId val="{00000003-4EE6-4949-B6F4-CA09F25DBAF3}"/>
            </c:ext>
          </c:extLst>
        </c:ser>
        <c:ser>
          <c:idx val="2"/>
          <c:order val="2"/>
          <c:tx>
            <c:strRef>
              <c:f>'GRAFICA 3'!$E$50</c:f>
              <c:strCache>
                <c:ptCount val="1"/>
                <c:pt idx="0">
                  <c:v>  Variación interanual </c:v>
                </c:pt>
              </c:strCache>
            </c:strRef>
          </c:tx>
          <c:spPr>
            <a:solidFill>
              <a:schemeClr val="accent5">
                <a:lumMod val="75000"/>
              </a:schemeClr>
            </a:solidFill>
            <a:ln cap="rnd">
              <a:solidFill>
                <a:schemeClr val="accent5">
                  <a:lumMod val="75000"/>
                </a:schemeClr>
              </a:solidFill>
            </a:ln>
            <a:effectLst/>
            <a:scene3d>
              <a:camera prst="orthographicFront"/>
              <a:lightRig rig="threePt" dir="t"/>
            </a:scene3d>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'GRAFICA 3'!$A$51:$B$55</c:f>
              <c:multiLvlStrCache>
                <c:ptCount val="5"/>
                <c:lvl>
                  <c:pt idx="0">
                    <c:v>jun</c:v>
                  </c:pt>
                  <c:pt idx="1">
                    <c:v>jun</c:v>
                  </c:pt>
                  <c:pt idx="2">
                    <c:v>jun</c:v>
                  </c:pt>
                  <c:pt idx="3">
                    <c:v>jun</c:v>
                  </c:pt>
                  <c:pt idx="4">
                    <c:v>jun</c:v>
                  </c:pt>
                </c:lvl>
                <c:lvl>
                  <c:pt idx="0">
                    <c:v> 2015 </c:v>
                  </c:pt>
                  <c:pt idx="1">
                    <c:v> 2016 </c:v>
                  </c:pt>
                  <c:pt idx="2">
                    <c:v> 2017 </c:v>
                  </c:pt>
                  <c:pt idx="3">
                    <c:v> 2018 </c:v>
                  </c:pt>
                  <c:pt idx="4">
                    <c:v> 2019 </c:v>
                  </c:pt>
                </c:lvl>
              </c:multiLvlStrCache>
            </c:multiLvlStrRef>
          </c:cat>
          <c:val>
            <c:numRef>
              <c:f>'GRAFICA 3'!$E$51:$E$55</c:f>
              <c:numCache>
                <c:formatCode>#,##0.0\ "%"</c:formatCode>
                <c:ptCount val="5"/>
                <c:pt idx="0">
                  <c:v>-1.2677979499961078</c:v>
                </c:pt>
                <c:pt idx="1">
                  <c:v>-0.85776079454706888</c:v>
                </c:pt>
                <c:pt idx="2">
                  <c:v>4.4985996298581021</c:v>
                </c:pt>
                <c:pt idx="3">
                  <c:v>6.5788554764288909</c:v>
                </c:pt>
                <c:pt idx="4">
                  <c:v>5.7843999999999998</c:v>
                </c:pt>
              </c:numCache>
            </c:numRef>
          </c:val>
          <c:extLst>
            <c:ext xmlns:c16="http://schemas.microsoft.com/office/drawing/2014/chart" uri="{C3380CC4-5D6E-409C-BE32-E72D297353CC}">
              <c16:uniqueId val="{00000004-4EE6-4949-B6F4-CA09F25DBAF3}"/>
            </c:ext>
          </c:extLst>
        </c:ser>
        <c:dLbls>
          <c:showLegendKey val="0"/>
          <c:showVal val="0"/>
          <c:showCatName val="0"/>
          <c:showSerName val="0"/>
          <c:showPercent val="0"/>
          <c:showBubbleSize val="0"/>
        </c:dLbls>
        <c:gapWidth val="219"/>
        <c:overlap val="-23"/>
        <c:axId val="714532111"/>
        <c:axId val="1020150815"/>
      </c:barChart>
      <c:catAx>
        <c:axId val="71453211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Open Sans"/>
                <a:ea typeface="+mn-ea"/>
                <a:cs typeface="+mn-cs"/>
              </a:defRPr>
            </a:pPr>
            <a:endParaRPr lang="es-ES"/>
          </a:p>
        </c:txPr>
        <c:crossAx val="1020150815"/>
        <c:crosses val="autoZero"/>
        <c:auto val="1"/>
        <c:lblAlgn val="ctr"/>
        <c:lblOffset val="100"/>
        <c:noMultiLvlLbl val="0"/>
      </c:catAx>
      <c:valAx>
        <c:axId val="1020150815"/>
        <c:scaling>
          <c:orientation val="minMax"/>
        </c:scaling>
        <c:delete val="1"/>
        <c:axPos val="l"/>
        <c:numFmt formatCode="#,##0.0\ &quot;%&quot;" sourceLinked="1"/>
        <c:majorTickMark val="none"/>
        <c:minorTickMark val="none"/>
        <c:tickLblPos val="nextTo"/>
        <c:crossAx val="714532111"/>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a:ea typeface="+mn-ea"/>
                <a:cs typeface="+mn-cs"/>
              </a:defRPr>
            </a:pPr>
            <a:endParaRPr lang="es-ES"/>
          </a:p>
        </c:txPr>
      </c:legendEntry>
      <c:layout>
        <c:manualLayout>
          <c:xMode val="edge"/>
          <c:yMode val="edge"/>
          <c:x val="8.1070746504400687E-2"/>
          <c:y val="0.93753326441835605"/>
          <c:w val="0.84466034053435624"/>
          <c:h val="6.04674617079313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800" b="1">
          <a:latin typeface="Open Sans"/>
        </a:defRPr>
      </a:pPr>
      <a:endParaRPr lang="es-ES"/>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0.0683</cdr:x>
      <cdr:y>0.59802</cdr:y>
    </cdr:from>
    <cdr:to>
      <cdr:x>0.93255</cdr:x>
      <cdr:y>0.59802</cdr:y>
    </cdr:to>
    <cdr:cxnSp macro="">
      <cdr:nvCxnSpPr>
        <cdr:cNvPr id="6" name="Conector recto 5">
          <a:extLst xmlns:a="http://schemas.openxmlformats.org/drawingml/2006/main">
            <a:ext uri="{FF2B5EF4-FFF2-40B4-BE49-F238E27FC236}">
              <a16:creationId xmlns:a16="http://schemas.microsoft.com/office/drawing/2014/main" id="{95FDED51-2779-4F3D-84FE-1C764C29DBAA}"/>
            </a:ext>
          </a:extLst>
        </cdr:cNvPr>
        <cdr:cNvCxnSpPr/>
      </cdr:nvCxnSpPr>
      <cdr:spPr>
        <a:xfrm xmlns:a="http://schemas.openxmlformats.org/drawingml/2006/main">
          <a:off x="368539" y="1951892"/>
          <a:ext cx="4663691" cy="0"/>
        </a:xfrm>
        <a:prstGeom xmlns:a="http://schemas.openxmlformats.org/drawingml/2006/main" prst="line">
          <a:avLst/>
        </a:prstGeom>
        <a:ln xmlns:a="http://schemas.openxmlformats.org/drawingml/2006/main" w="73025" cmpd="sng">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1207</TotalTime>
  <Pages>9</Pages>
  <Words>2737</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Ranilla Checa</dc:creator>
  <cp:keywords/>
  <dc:description/>
  <cp:lastModifiedBy>Anaïs López García</cp:lastModifiedBy>
  <cp:revision>41</cp:revision>
  <cp:lastPrinted>2019-06-26T12:33:00Z</cp:lastPrinted>
  <dcterms:created xsi:type="dcterms:W3CDTF">2019-06-25T16:38:00Z</dcterms:created>
  <dcterms:modified xsi:type="dcterms:W3CDTF">2019-07-02T10:53:00Z</dcterms:modified>
</cp:coreProperties>
</file>