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DE27A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1F047F" w:rsidP="00122B54">
      <w:pPr>
        <w:spacing w:line="276" w:lineRule="auto"/>
        <w:ind w:right="-574"/>
        <w:jc w:val="center"/>
        <w:rPr>
          <w:rFonts w:ascii="National" w:hAnsi="National"/>
          <w:b/>
          <w:bCs/>
          <w:iCs/>
          <w:color w:val="1DBDC5"/>
          <w:sz w:val="38"/>
          <w:szCs w:val="40"/>
          <w:lang w:val="es-ES"/>
        </w:rPr>
      </w:pPr>
      <w:r>
        <w:rPr>
          <w:rFonts w:ascii="National" w:hAnsi="National"/>
          <w:b/>
          <w:bCs/>
          <w:iCs/>
          <w:color w:val="1DBDC5"/>
          <w:sz w:val="34"/>
          <w:szCs w:val="40"/>
          <w:lang w:val="es-ES"/>
        </w:rPr>
        <w:t>EL ALQUILER VACACIONAL EN ESPAÑA</w:t>
      </w:r>
      <w:r w:rsidR="00DF7849">
        <w:rPr>
          <w:rFonts w:ascii="National" w:hAnsi="National"/>
          <w:b/>
          <w:bCs/>
          <w:iCs/>
          <w:color w:val="1DBDC5"/>
          <w:sz w:val="34"/>
          <w:szCs w:val="40"/>
          <w:lang w:val="es-ES"/>
        </w:rPr>
        <w:t xml:space="preserve"> EN 2019</w:t>
      </w:r>
    </w:p>
    <w:p w:rsidR="00396AF3" w:rsidRPr="00CE6285" w:rsidRDefault="001F047F" w:rsidP="008D2DD9">
      <w:pPr>
        <w:ind w:right="-574"/>
        <w:rPr>
          <w:rFonts w:ascii="National" w:hAnsi="National"/>
          <w:b/>
          <w:bCs/>
          <w:iCs/>
          <w:color w:val="303AB2"/>
          <w:sz w:val="54"/>
          <w:szCs w:val="56"/>
          <w:lang w:val="es-ES"/>
        </w:rPr>
      </w:pPr>
      <w:r>
        <w:rPr>
          <w:rFonts w:ascii="National" w:hAnsi="National"/>
          <w:b/>
          <w:bCs/>
          <w:iCs/>
          <w:color w:val="303AB2"/>
          <w:sz w:val="54"/>
          <w:szCs w:val="56"/>
          <w:lang w:val="es-ES"/>
        </w:rPr>
        <w:t>El 16% de los propietarios pondría su vivienda como alquiler vacacional</w:t>
      </w:r>
    </w:p>
    <w:p w:rsidR="00122B54" w:rsidRDefault="00122B54" w:rsidP="008D2DD9">
      <w:pPr>
        <w:ind w:right="-574"/>
        <w:rPr>
          <w:rFonts w:ascii="National" w:hAnsi="National"/>
          <w:b/>
          <w:bCs/>
          <w:iCs/>
          <w:color w:val="303AB2"/>
          <w:sz w:val="44"/>
          <w:szCs w:val="56"/>
          <w:lang w:val="es-ES"/>
        </w:rPr>
      </w:pPr>
    </w:p>
    <w:p w:rsidR="00745018" w:rsidRDefault="00745018" w:rsidP="001F047F">
      <w:pPr>
        <w:pStyle w:val="Prrafodelista"/>
        <w:numPr>
          <w:ilvl w:val="0"/>
          <w:numId w:val="8"/>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Otro</w:t>
      </w:r>
      <w:r w:rsidR="001F047F" w:rsidRPr="001F047F">
        <w:rPr>
          <w:rFonts w:ascii="Open Sans" w:eastAsia="Times New Roman" w:hAnsi="Open Sans" w:cs="Open Sans"/>
          <w:color w:val="000000"/>
          <w:sz w:val="22"/>
          <w:szCs w:val="22"/>
          <w:lang w:val="es-ES" w:eastAsia="es-ES_tradnl"/>
        </w:rPr>
        <w:t xml:space="preserve"> 3% </w:t>
      </w:r>
      <w:r>
        <w:rPr>
          <w:rFonts w:ascii="Open Sans" w:eastAsia="Times New Roman" w:hAnsi="Open Sans" w:cs="Open Sans"/>
          <w:color w:val="000000"/>
          <w:sz w:val="22"/>
          <w:szCs w:val="22"/>
          <w:lang w:val="es-ES" w:eastAsia="es-ES_tradnl"/>
        </w:rPr>
        <w:t>asegura que ya ha entrado de forma regular en el mercado vacacional y un 81% descarta totalmente entrar en este mercado</w:t>
      </w:r>
    </w:p>
    <w:p w:rsidR="00745018" w:rsidRDefault="003357D9" w:rsidP="001F047F">
      <w:pPr>
        <w:pStyle w:val="Prrafodelista"/>
        <w:numPr>
          <w:ilvl w:val="0"/>
          <w:numId w:val="8"/>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 xml:space="preserve">Andalucía, Cataluña y la </w:t>
      </w:r>
      <w:proofErr w:type="spellStart"/>
      <w:r>
        <w:rPr>
          <w:rFonts w:ascii="Open Sans" w:eastAsia="Times New Roman" w:hAnsi="Open Sans" w:cs="Open Sans"/>
          <w:color w:val="000000"/>
          <w:sz w:val="22"/>
          <w:szCs w:val="22"/>
          <w:lang w:val="es-ES" w:eastAsia="es-ES_tradnl"/>
        </w:rPr>
        <w:t>Comunitat</w:t>
      </w:r>
      <w:proofErr w:type="spellEnd"/>
      <w:r>
        <w:rPr>
          <w:rFonts w:ascii="Open Sans" w:eastAsia="Times New Roman" w:hAnsi="Open Sans" w:cs="Open Sans"/>
          <w:color w:val="000000"/>
          <w:sz w:val="22"/>
          <w:szCs w:val="22"/>
          <w:lang w:val="es-ES" w:eastAsia="es-ES_tradnl"/>
        </w:rPr>
        <w:t xml:space="preserve"> Valenciana son las comunidades en las que más proporción de propietarios que alquilan vivienda vacacional hay</w:t>
      </w:r>
    </w:p>
    <w:p w:rsidR="003357D9" w:rsidRDefault="003357D9" w:rsidP="001F047F">
      <w:pPr>
        <w:pStyle w:val="Prrafodelista"/>
        <w:numPr>
          <w:ilvl w:val="0"/>
          <w:numId w:val="8"/>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Contar con una fuente de ingresos extra y la gran rentabilidad que ofrece el alquiler, principales motivos para poner la vivienda en alquiler vacacional</w:t>
      </w:r>
    </w:p>
    <w:p w:rsidR="003357D9" w:rsidRDefault="003357D9" w:rsidP="001F047F">
      <w:pPr>
        <w:pStyle w:val="Prrafodelista"/>
        <w:numPr>
          <w:ilvl w:val="0"/>
          <w:numId w:val="8"/>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perfil del arrendador de vivienda vacacional es un hombre, de mediana edad, casado y con hijos</w:t>
      </w:r>
    </w:p>
    <w:p w:rsidR="00745018" w:rsidRPr="00745018" w:rsidRDefault="00745018" w:rsidP="00745018">
      <w:pPr>
        <w:spacing w:line="276" w:lineRule="auto"/>
        <w:ind w:left="360" w:right="-574"/>
        <w:rPr>
          <w:rFonts w:ascii="Open Sans" w:eastAsia="Times New Roman" w:hAnsi="Open Sans" w:cs="Open Sans"/>
          <w:color w:val="000000"/>
          <w:sz w:val="22"/>
          <w:szCs w:val="22"/>
          <w:lang w:val="es-ES" w:eastAsia="es-ES_tradnl"/>
        </w:rPr>
      </w:pPr>
    </w:p>
    <w:p w:rsidR="0018017F" w:rsidRPr="0018017F" w:rsidRDefault="00753088" w:rsidP="0018017F">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1F047F">
        <w:rPr>
          <w:rFonts w:ascii="Open Sans Light" w:hAnsi="Open Sans Light" w:cs="Open Sans Light"/>
          <w:b/>
          <w:iCs/>
          <w:color w:val="303AB2"/>
          <w:szCs w:val="20"/>
          <w:lang w:val="es-ES"/>
        </w:rPr>
        <w:t>14 de junio</w:t>
      </w:r>
      <w:r w:rsidR="00FD6A4B">
        <w:rPr>
          <w:rFonts w:ascii="Open Sans Light" w:hAnsi="Open Sans Light" w:cs="Open Sans Light"/>
          <w:b/>
          <w:iCs/>
          <w:color w:val="303AB2"/>
          <w:szCs w:val="20"/>
          <w:lang w:val="es-ES"/>
        </w:rPr>
        <w:t xml:space="preserve"> de 201</w:t>
      </w:r>
      <w:r w:rsidR="0018017F">
        <w:rPr>
          <w:rFonts w:ascii="Open Sans Light" w:hAnsi="Open Sans Light" w:cs="Open Sans Light"/>
          <w:b/>
          <w:iCs/>
          <w:color w:val="303AB2"/>
          <w:szCs w:val="20"/>
          <w:lang w:val="es-ES"/>
        </w:rPr>
        <w:t>9</w:t>
      </w:r>
    </w:p>
    <w:p w:rsidR="0018017F" w:rsidRDefault="0018017F"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81% de los propietarios </w:t>
      </w:r>
      <w:r w:rsidR="000E7729">
        <w:rPr>
          <w:rFonts w:ascii="Open Sans" w:hAnsi="Open Sans" w:cs="Open Sans"/>
          <w:color w:val="000000"/>
          <w:sz w:val="22"/>
          <w:szCs w:val="22"/>
        </w:rPr>
        <w:t xml:space="preserve">de primera o segunda residencia asegura que no pondría su vivienda en régimen de alquiler vacacional frente a un 16% que sí que se plantea hacerlo. De hecho, un 3% asegura que actualmente ya alquila o intercambia su residencia </w:t>
      </w:r>
      <w:r w:rsidR="00CA7899">
        <w:rPr>
          <w:rFonts w:ascii="Open Sans" w:hAnsi="Open Sans" w:cs="Open Sans"/>
          <w:color w:val="000000"/>
          <w:sz w:val="22"/>
          <w:szCs w:val="22"/>
        </w:rPr>
        <w:t>habitual o segunda residencia por cortos periodos de tiempo. Estos porcentajes son muy similares a los que se registraron en 2018, por lo que la intención de poner la vivienda en alquiler vacacional no ha variado respecto al pasado año. Esta es una de las principales conclusiones del estudio “</w:t>
      </w:r>
      <w:r w:rsidR="00CA7899" w:rsidRPr="00093D3F">
        <w:rPr>
          <w:rFonts w:ascii="Open Sans" w:hAnsi="Open Sans" w:cs="Open Sans"/>
          <w:b/>
          <w:color w:val="000000"/>
          <w:sz w:val="22"/>
          <w:szCs w:val="22"/>
          <w:u w:val="single"/>
        </w:rPr>
        <w:t>Radiografía del mercado de la vivienda 2018-2019</w:t>
      </w:r>
      <w:r w:rsidR="00CA7899">
        <w:rPr>
          <w:rFonts w:ascii="Open Sans" w:hAnsi="Open Sans" w:cs="Open Sans"/>
          <w:color w:val="000000"/>
          <w:sz w:val="22"/>
          <w:szCs w:val="22"/>
        </w:rPr>
        <w:t xml:space="preserve">” realizado por el portal inmobiliario </w:t>
      </w:r>
      <w:hyperlink r:id="rId9" w:history="1">
        <w:r w:rsidR="00CA7899" w:rsidRPr="00C52A66">
          <w:rPr>
            <w:rStyle w:val="Hipervnculo"/>
            <w:rFonts w:ascii="Open Sans" w:hAnsi="Open Sans" w:cs="Open Sans"/>
            <w:sz w:val="22"/>
            <w:szCs w:val="22"/>
          </w:rPr>
          <w:t>Fotocasa</w:t>
        </w:r>
      </w:hyperlink>
      <w:r w:rsidR="00CA7899">
        <w:rPr>
          <w:rFonts w:ascii="Open Sans" w:hAnsi="Open Sans" w:cs="Open Sans"/>
          <w:color w:val="000000"/>
          <w:sz w:val="22"/>
          <w:szCs w:val="22"/>
        </w:rPr>
        <w:t xml:space="preserve"> y que, en este caso, hace especial foco en la situación del alquiler turístico en España. </w:t>
      </w:r>
    </w:p>
    <w:p w:rsidR="002B6C67" w:rsidRPr="003E0F0F" w:rsidRDefault="002B6C67" w:rsidP="002B6C67">
      <w:pPr>
        <w:pStyle w:val="NormalWeb"/>
        <w:shd w:val="clear" w:color="auto" w:fill="FFFFFF"/>
        <w:spacing w:after="225" w:line="276" w:lineRule="auto"/>
        <w:ind w:right="-574"/>
        <w:jc w:val="both"/>
        <w:rPr>
          <w:rFonts w:ascii="Open Sans" w:hAnsi="Open Sans" w:cs="Open Sans"/>
          <w:color w:val="FF0000"/>
          <w:sz w:val="22"/>
          <w:szCs w:val="22"/>
        </w:rPr>
      </w:pPr>
      <w:r>
        <w:rPr>
          <w:rFonts w:ascii="Open Sans" w:hAnsi="Open Sans" w:cs="Open Sans"/>
          <w:color w:val="000000"/>
          <w:sz w:val="22"/>
          <w:szCs w:val="22"/>
        </w:rPr>
        <w:t xml:space="preserve">“Los datos de este estudio muestran que el porcentaje de propietarios particulares que ha destinado una vivienda a alquiler vacacional en el último año es bajo y quienes se lo plantearían hacerlo también. Además, se observa que éste es mercado que tiene </w:t>
      </w:r>
      <w:proofErr w:type="gramStart"/>
      <w:r>
        <w:rPr>
          <w:rFonts w:ascii="Open Sans" w:hAnsi="Open Sans" w:cs="Open Sans"/>
          <w:color w:val="000000"/>
          <w:sz w:val="22"/>
          <w:szCs w:val="22"/>
        </w:rPr>
        <w:t>más  penetración</w:t>
      </w:r>
      <w:proofErr w:type="gramEnd"/>
      <w:r>
        <w:rPr>
          <w:rFonts w:ascii="Open Sans" w:hAnsi="Open Sans" w:cs="Open Sans"/>
          <w:color w:val="000000"/>
          <w:sz w:val="22"/>
          <w:szCs w:val="22"/>
        </w:rPr>
        <w:t xml:space="preserve"> entre los propietarios de vivienda en zonas costeras”, explica Beatriz Toribio, directora de Estudios de </w:t>
      </w:r>
      <w:hyperlink r:id="rId10" w:history="1">
        <w:r w:rsidR="00C52A66" w:rsidRPr="00C52A66">
          <w:rPr>
            <w:rStyle w:val="Hipervnculo"/>
            <w:rFonts w:ascii="Open Sans" w:hAnsi="Open Sans" w:cs="Open Sans"/>
            <w:sz w:val="22"/>
            <w:szCs w:val="22"/>
          </w:rPr>
          <w:t>Fotocasa</w:t>
        </w:r>
      </w:hyperlink>
      <w:r>
        <w:rPr>
          <w:rFonts w:ascii="Open Sans" w:hAnsi="Open Sans" w:cs="Open Sans"/>
          <w:color w:val="000000"/>
          <w:sz w:val="22"/>
          <w:szCs w:val="22"/>
        </w:rPr>
        <w:t>.</w:t>
      </w:r>
    </w:p>
    <w:p w:rsidR="00F447E5" w:rsidRDefault="009C37AC"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 las comunidades</w:t>
      </w:r>
      <w:r w:rsidR="00D83759">
        <w:rPr>
          <w:rFonts w:ascii="Open Sans" w:hAnsi="Open Sans" w:cs="Open Sans"/>
          <w:color w:val="000000"/>
          <w:sz w:val="22"/>
          <w:szCs w:val="22"/>
        </w:rPr>
        <w:t xml:space="preserve"> autónomas </w:t>
      </w:r>
      <w:r>
        <w:rPr>
          <w:rFonts w:ascii="Open Sans" w:hAnsi="Open Sans" w:cs="Open Sans"/>
          <w:color w:val="000000"/>
          <w:sz w:val="22"/>
          <w:szCs w:val="22"/>
        </w:rPr>
        <w:t xml:space="preserve">en las que más propietarios que alquilan su vivienda como alquiler vacacional, destaca Andalucía, con un 26% del total, seguida de Cataluña (18%), la </w:t>
      </w:r>
      <w:proofErr w:type="spellStart"/>
      <w:r>
        <w:rPr>
          <w:rFonts w:ascii="Open Sans" w:hAnsi="Open Sans" w:cs="Open Sans"/>
          <w:color w:val="000000"/>
          <w:sz w:val="22"/>
          <w:szCs w:val="22"/>
        </w:rPr>
        <w:t>Comunitat</w:t>
      </w:r>
      <w:proofErr w:type="spellEnd"/>
      <w:r>
        <w:rPr>
          <w:rFonts w:ascii="Open Sans" w:hAnsi="Open Sans" w:cs="Open Sans"/>
          <w:color w:val="000000"/>
          <w:sz w:val="22"/>
          <w:szCs w:val="22"/>
        </w:rPr>
        <w:t xml:space="preserve"> Valenciana (13%), Madrid (7%) y País Vasco (</w:t>
      </w:r>
      <w:r w:rsidR="00D83759">
        <w:rPr>
          <w:rFonts w:ascii="Open Sans" w:hAnsi="Open Sans" w:cs="Open Sans"/>
          <w:color w:val="000000"/>
          <w:sz w:val="22"/>
          <w:szCs w:val="22"/>
        </w:rPr>
        <w:t>4%).</w:t>
      </w:r>
    </w:p>
    <w:p w:rsidR="00F447E5" w:rsidRDefault="00F447E5" w:rsidP="00B85F69">
      <w:pPr>
        <w:pStyle w:val="NormalWeb"/>
        <w:shd w:val="clear" w:color="auto" w:fill="FFFFFF"/>
        <w:spacing w:after="225" w:line="276" w:lineRule="auto"/>
        <w:ind w:right="-574"/>
        <w:jc w:val="both"/>
        <w:rPr>
          <w:rFonts w:ascii="Open Sans" w:hAnsi="Open Sans" w:cs="Open Sans"/>
          <w:color w:val="000000"/>
          <w:sz w:val="22"/>
          <w:szCs w:val="22"/>
        </w:rPr>
      </w:pPr>
    </w:p>
    <w:p w:rsidR="00F447E5" w:rsidRPr="0026726B" w:rsidRDefault="003357D9" w:rsidP="0026726B">
      <w:pPr>
        <w:ind w:right="-574"/>
        <w:rPr>
          <w:rFonts w:ascii="National" w:hAnsi="National"/>
          <w:b/>
          <w:bCs/>
          <w:iCs/>
          <w:color w:val="303AB2"/>
          <w:sz w:val="26"/>
          <w:szCs w:val="56"/>
          <w:lang w:val="es-ES"/>
        </w:rPr>
      </w:pPr>
      <w:r>
        <w:rPr>
          <w:rFonts w:ascii="National" w:hAnsi="National"/>
          <w:b/>
          <w:bCs/>
          <w:iCs/>
          <w:color w:val="303AB2"/>
          <w:sz w:val="26"/>
          <w:szCs w:val="56"/>
          <w:lang w:val="es-ES"/>
        </w:rPr>
        <w:lastRenderedPageBreak/>
        <w:t>Tener una fuente de ingresos extra</w:t>
      </w:r>
      <w:r w:rsidR="0026726B" w:rsidRPr="0026726B">
        <w:rPr>
          <w:rFonts w:ascii="National" w:hAnsi="National"/>
          <w:b/>
          <w:bCs/>
          <w:iCs/>
          <w:color w:val="303AB2"/>
          <w:sz w:val="26"/>
          <w:szCs w:val="56"/>
          <w:lang w:val="es-ES"/>
        </w:rPr>
        <w:t>, el principal motivo para alquilar la vivienda</w:t>
      </w:r>
    </w:p>
    <w:p w:rsidR="00234271" w:rsidRDefault="0026726B"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Los propietarios de vivienda que ponen en alquiler vacacional o bien su primera residencia o bien una segunda residencia </w:t>
      </w:r>
      <w:r w:rsidR="00234271">
        <w:rPr>
          <w:rFonts w:ascii="Open Sans" w:hAnsi="Open Sans" w:cs="Open Sans"/>
          <w:color w:val="000000"/>
          <w:sz w:val="22"/>
          <w:szCs w:val="22"/>
        </w:rPr>
        <w:t xml:space="preserve">lo hacen principalmente porque es una fuente de ingresos. Así lo asegura el 34% de los propietarios que alquilan una vivienda vacacional. Le sigue otro 25% que dice alquilar una vivienda por la rentabilidad que ofrece este tipo de alquiler y otro 22% asegura que lo hace porque prefiere que la vivienda esté ocupada. </w:t>
      </w:r>
    </w:p>
    <w:p w:rsidR="00234271" w:rsidRDefault="00234271"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otra escala de prioridades, un 5% se decantó por esta fórmula de alquiler porque planea comprarse otra vivienda, un 4% porque se ha reactivado el mercado del alquiler y es buen momento para alquilar y un 3% está esperando a que suban más los precios para vender la vivienda que actualmente tiene en alquiler. </w:t>
      </w:r>
    </w:p>
    <w:p w:rsidR="00F447E5" w:rsidRPr="00093D3F" w:rsidRDefault="00093D3F" w:rsidP="00093D3F">
      <w:pPr>
        <w:ind w:right="-574"/>
        <w:rPr>
          <w:rFonts w:ascii="National" w:hAnsi="National"/>
          <w:b/>
          <w:bCs/>
          <w:iCs/>
          <w:color w:val="303AB2"/>
          <w:sz w:val="26"/>
          <w:szCs w:val="56"/>
          <w:lang w:val="es-ES"/>
        </w:rPr>
      </w:pPr>
      <w:r w:rsidRPr="00093D3F">
        <w:rPr>
          <w:rFonts w:ascii="National" w:hAnsi="National"/>
          <w:b/>
          <w:bCs/>
          <w:iCs/>
          <w:color w:val="303AB2"/>
          <w:sz w:val="26"/>
          <w:szCs w:val="56"/>
          <w:lang w:val="es-ES"/>
        </w:rPr>
        <w:t>Hombre, de mediana edad, casado y con hijos: el perfil del arrendador de vivienda vacacional</w:t>
      </w:r>
    </w:p>
    <w:p w:rsidR="008D4D2B" w:rsidRDefault="00AA7816"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en 2018 </w:t>
      </w:r>
      <w:r w:rsidR="0014604E">
        <w:rPr>
          <w:rFonts w:ascii="Open Sans" w:hAnsi="Open Sans" w:cs="Open Sans"/>
          <w:color w:val="000000"/>
          <w:sz w:val="22"/>
          <w:szCs w:val="22"/>
        </w:rPr>
        <w:t xml:space="preserve">el perfil del arrendador de vivienda vacacional estaba mucho más representado por mujeres (55%) </w:t>
      </w:r>
      <w:proofErr w:type="gramStart"/>
      <w:r w:rsidR="0014604E">
        <w:rPr>
          <w:rFonts w:ascii="Open Sans" w:hAnsi="Open Sans" w:cs="Open Sans"/>
          <w:color w:val="000000"/>
          <w:sz w:val="22"/>
          <w:szCs w:val="22"/>
        </w:rPr>
        <w:t>que</w:t>
      </w:r>
      <w:proofErr w:type="gramEnd"/>
      <w:r w:rsidR="0014604E">
        <w:rPr>
          <w:rFonts w:ascii="Open Sans" w:hAnsi="Open Sans" w:cs="Open Sans"/>
          <w:color w:val="000000"/>
          <w:sz w:val="22"/>
          <w:szCs w:val="22"/>
        </w:rPr>
        <w:t xml:space="preserve"> por hombre</w:t>
      </w:r>
      <w:r w:rsidR="008D4D2B">
        <w:rPr>
          <w:rFonts w:ascii="Open Sans" w:hAnsi="Open Sans" w:cs="Open Sans"/>
          <w:color w:val="000000"/>
          <w:sz w:val="22"/>
          <w:szCs w:val="22"/>
        </w:rPr>
        <w:t>s</w:t>
      </w:r>
      <w:r w:rsidR="0014604E">
        <w:rPr>
          <w:rFonts w:ascii="Open Sans" w:hAnsi="Open Sans" w:cs="Open Sans"/>
          <w:color w:val="000000"/>
          <w:sz w:val="22"/>
          <w:szCs w:val="22"/>
        </w:rPr>
        <w:t xml:space="preserve">, en 2019 esta presencia ha cambiado ligeramente. Así, en 2019 </w:t>
      </w:r>
      <w:r w:rsidR="008D4D2B">
        <w:rPr>
          <w:rFonts w:ascii="Open Sans" w:hAnsi="Open Sans" w:cs="Open Sans"/>
          <w:color w:val="000000"/>
          <w:sz w:val="22"/>
          <w:szCs w:val="22"/>
        </w:rPr>
        <w:t xml:space="preserve">el 53% de los arrendadores de vivienda vacacional son hombres frente al 47% de mujeres. </w:t>
      </w:r>
    </w:p>
    <w:p w:rsidR="00F447E5" w:rsidRDefault="008D4D2B"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Además, el tramo de edad entre 45 a 54 años es el más activo en este mercado (30%), seguido muy de cerca por el tramo entre 35 a 44 (29%), seguido del tramo entre 55 a 75 años (27%), el tramo entre 25 y 34 años (11%) y finalmente el tramo entre 18 y 24 es el menos activo (3%). La edad media que tienen los arrendadores de vivienda vacacional es de 47 años.</w:t>
      </w:r>
    </w:p>
    <w:p w:rsidR="008D4D2B" w:rsidRDefault="005759C6"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 la clase social, el 40% de los arrendadores de vivienda son de clase social media-alta, seguido del 37% que es de clase alta, un 15% es de clase media, un 6% es de clase media-baja y un 1,3% es de clase baja.</w:t>
      </w:r>
    </w:p>
    <w:p w:rsidR="00F447E5" w:rsidRDefault="00F70AAB" w:rsidP="00B85F69">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 cuanto a su situación familiar, el 57% de los arrendadores de vivienda vacacional vive con su pareja e hijos, el 21% vive solo en pareja, el 8% vive con sus padres y un 6% vive solo.</w:t>
      </w:r>
    </w:p>
    <w:p w:rsidR="00D83759" w:rsidRDefault="00D83759" w:rsidP="00B668EA">
      <w:pPr>
        <w:spacing w:line="276" w:lineRule="auto"/>
        <w:ind w:right="-574"/>
        <w:jc w:val="right"/>
        <w:rPr>
          <w:rFonts w:ascii="Open Sans Light" w:hAnsi="Open Sans Light" w:cs="Open Sans Light"/>
          <w:b/>
          <w:iCs/>
          <w:color w:val="303AB2"/>
          <w:szCs w:val="20"/>
          <w:lang w:val="es-ES"/>
        </w:rPr>
      </w:pPr>
    </w:p>
    <w:p w:rsidR="001E69C0" w:rsidRPr="000A2AA0" w:rsidRDefault="00D83759" w:rsidP="00B668EA">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w:t>
      </w:r>
      <w:r w:rsidR="00B668EA" w:rsidRPr="000A2AA0">
        <w:rPr>
          <w:rFonts w:ascii="Open Sans Light" w:hAnsi="Open Sans Light" w:cs="Open Sans Light"/>
          <w:b/>
          <w:iCs/>
          <w:color w:val="303AB2"/>
          <w:szCs w:val="20"/>
          <w:lang w:val="es-ES"/>
        </w:rPr>
        <w:t>obre el estudio “</w:t>
      </w:r>
      <w:r w:rsidR="00DF7849">
        <w:rPr>
          <w:rFonts w:ascii="Open Sans Light" w:hAnsi="Open Sans Light" w:cs="Open Sans Light"/>
          <w:b/>
          <w:iCs/>
          <w:color w:val="303AB2"/>
          <w:szCs w:val="20"/>
          <w:lang w:val="es-ES"/>
        </w:rPr>
        <w:t>El alquiler vacacional en España en 2019</w:t>
      </w:r>
      <w:r w:rsidR="00B82525" w:rsidRPr="000A2AA0">
        <w:rPr>
          <w:rFonts w:ascii="Open Sans Light" w:hAnsi="Open Sans Light" w:cs="Open Sans Light"/>
          <w:b/>
          <w:iCs/>
          <w:color w:val="303AB2"/>
          <w:szCs w:val="20"/>
          <w:lang w:val="es-ES"/>
        </w:rPr>
        <w:t>”</w:t>
      </w:r>
    </w:p>
    <w:p w:rsidR="00F16BCD"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0A2AA0">
        <w:rPr>
          <w:rFonts w:ascii="Open Sans" w:hAnsi="Open Sans" w:cs="Open Sans"/>
          <w:color w:val="000000"/>
          <w:sz w:val="22"/>
          <w:szCs w:val="22"/>
        </w:rPr>
        <w:t xml:space="preserve">El portal inmobiliario </w:t>
      </w:r>
      <w:hyperlink r:id="rId11" w:history="1">
        <w:r w:rsidRPr="000A2AA0">
          <w:rPr>
            <w:rStyle w:val="Hipervnculo"/>
            <w:rFonts w:ascii="Open Sans" w:hAnsi="Open Sans" w:cs="Open Sans"/>
            <w:b/>
            <w:bCs/>
            <w:sz w:val="22"/>
            <w:szCs w:val="22"/>
          </w:rPr>
          <w:t>Fotocasa</w:t>
        </w:r>
      </w:hyperlink>
      <w:r w:rsidRPr="000A2AA0">
        <w:rPr>
          <w:rFonts w:ascii="Open Sans" w:hAnsi="Open Sans" w:cs="Open Sans"/>
          <w:color w:val="000000"/>
          <w:sz w:val="22"/>
          <w:szCs w:val="22"/>
        </w:rPr>
        <w:t xml:space="preserve"> </w:t>
      </w:r>
      <w:r w:rsidR="00F16BCD">
        <w:rPr>
          <w:rFonts w:ascii="Open Sans" w:hAnsi="Open Sans" w:cs="Open Sans"/>
          <w:color w:val="000000"/>
          <w:sz w:val="22"/>
          <w:szCs w:val="22"/>
        </w:rPr>
        <w:t xml:space="preserve">ha realizado el informe “Radiografía del mercado de la vivienda 2018-2019”, en base a un exhaustivo análisis del equipo de Data &amp; </w:t>
      </w:r>
      <w:proofErr w:type="spellStart"/>
      <w:r w:rsidR="00F16BCD">
        <w:rPr>
          <w:rFonts w:ascii="Open Sans" w:hAnsi="Open Sans" w:cs="Open Sans"/>
          <w:color w:val="000000"/>
          <w:sz w:val="22"/>
          <w:szCs w:val="22"/>
        </w:rPr>
        <w:t>Insights</w:t>
      </w:r>
      <w:proofErr w:type="spellEnd"/>
      <w:r w:rsidR="00F16BCD">
        <w:rPr>
          <w:rFonts w:ascii="Open Sans" w:hAnsi="Open Sans" w:cs="Open Sans"/>
          <w:color w:val="000000"/>
          <w:sz w:val="22"/>
          <w:szCs w:val="22"/>
        </w:rPr>
        <w:t xml:space="preserve"> de </w:t>
      </w:r>
      <w:proofErr w:type="spellStart"/>
      <w:r w:rsidR="00F16BCD">
        <w:rPr>
          <w:rFonts w:ascii="Open Sans" w:hAnsi="Open Sans" w:cs="Open Sans"/>
          <w:color w:val="000000"/>
          <w:sz w:val="22"/>
          <w:szCs w:val="22"/>
        </w:rPr>
        <w:t>Adevinta</w:t>
      </w:r>
      <w:proofErr w:type="spellEnd"/>
      <w:r w:rsidR="00F16BCD">
        <w:rPr>
          <w:rFonts w:ascii="Open Sans" w:hAnsi="Open Sans" w:cs="Open Sans"/>
          <w:color w:val="000000"/>
          <w:sz w:val="22"/>
          <w:szCs w:val="22"/>
        </w:rPr>
        <w:t xml:space="preserve"> en colaboración con el instituto de investigación </w:t>
      </w:r>
      <w:proofErr w:type="spellStart"/>
      <w:r w:rsidR="00F16BCD">
        <w:rPr>
          <w:rFonts w:ascii="Open Sans" w:hAnsi="Open Sans" w:cs="Open Sans"/>
          <w:color w:val="000000"/>
          <w:sz w:val="22"/>
          <w:szCs w:val="22"/>
        </w:rPr>
        <w:t>The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Cocktail</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Analysis</w:t>
      </w:r>
      <w:proofErr w:type="spellEnd"/>
      <w:r w:rsidR="00F16BCD">
        <w:rPr>
          <w:rFonts w:ascii="Open Sans" w:hAnsi="Open Sans" w:cs="Open Sans"/>
          <w:color w:val="000000"/>
          <w:sz w:val="22"/>
          <w:szCs w:val="22"/>
        </w:rPr>
        <w:t xml:space="preserve">. </w:t>
      </w:r>
    </w:p>
    <w:p w:rsidR="00492237" w:rsidRDefault="00492237"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DF7849" w:rsidRDefault="00F16BCD"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El estudio</w:t>
      </w:r>
      <w:r w:rsidR="00591B57">
        <w:rPr>
          <w:rFonts w:ascii="Open Sans" w:hAnsi="Open Sans" w:cs="Open Sans"/>
          <w:color w:val="000000"/>
          <w:sz w:val="22"/>
          <w:szCs w:val="22"/>
        </w:rPr>
        <w:t xml:space="preserve"> pretende dar continuidad a los informes presentados en 2018 y 2017. </w:t>
      </w:r>
      <w:r w:rsidR="00DF7849">
        <w:rPr>
          <w:rFonts w:ascii="Open Sans" w:hAnsi="Open Sans" w:cs="Open Sans"/>
          <w:color w:val="000000"/>
          <w:sz w:val="22"/>
          <w:szCs w:val="22"/>
        </w:rPr>
        <w:t xml:space="preserve">Los datos explotados parten del bloque dirigido al total de la población, con una muestra de 3.021 propietarios de primera y/o segunda residencia de 18 a 75 años con un error muestral de +-2%. </w:t>
      </w: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r w:rsidRPr="000A2AA0">
        <w:rPr>
          <w:rFonts w:ascii="Open Sans Light" w:hAnsi="Open Sans Light" w:cs="Open Sans Light"/>
          <w:b/>
          <w:iCs/>
          <w:color w:val="303AB2"/>
          <w:szCs w:val="20"/>
          <w:lang w:val="es-ES"/>
        </w:rPr>
        <w:lastRenderedPageBreak/>
        <w:t xml:space="preserve">Sobre </w:t>
      </w:r>
      <w:r w:rsidR="00152FC9" w:rsidRPr="000A2AA0">
        <w:rPr>
          <w:rFonts w:ascii="Open Sans Light" w:hAnsi="Open Sans Light" w:cs="Open Sans Light"/>
          <w:b/>
          <w:iCs/>
          <w:color w:val="303AB2"/>
          <w:szCs w:val="20"/>
          <w:lang w:val="es-ES"/>
        </w:rPr>
        <w:t>F</w:t>
      </w:r>
      <w:r w:rsidRPr="000A2AA0">
        <w:rPr>
          <w:rFonts w:ascii="Open Sans Light" w:hAnsi="Open Sans Light" w:cs="Open Sans Light"/>
          <w:b/>
          <w:iCs/>
          <w:color w:val="303AB2"/>
          <w:szCs w:val="20"/>
          <w:lang w:val="es-ES"/>
        </w:rPr>
        <w:t>otocasa</w:t>
      </w:r>
    </w:p>
    <w:p w:rsidR="00D31A57" w:rsidRPr="000A2AA0"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2"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F16BCD" w:rsidRPr="00B97DF8"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Default="00DE27A5"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3" w:history="1">
        <w:r w:rsidR="00F16BCD" w:rsidRPr="00B97DF8">
          <w:rPr>
            <w:rStyle w:val="Hipervnculo"/>
            <w:rFonts w:ascii="Open Sans" w:hAnsi="Open Sans" w:cs="Open Sans"/>
            <w:b/>
            <w:bCs/>
            <w:sz w:val="22"/>
            <w:szCs w:val="22"/>
          </w:rPr>
          <w:t>Fotocasa</w:t>
        </w:r>
      </w:hyperlink>
      <w:r w:rsidR="00F16BCD" w:rsidRPr="00B97DF8">
        <w:rPr>
          <w:rFonts w:ascii="Open Sans" w:hAnsi="Open Sans" w:cs="Open Sans"/>
          <w:color w:val="000000"/>
          <w:sz w:val="22"/>
          <w:szCs w:val="22"/>
        </w:rPr>
        <w:t xml:space="preserve"> pertenece a</w:t>
      </w:r>
      <w:r w:rsidR="00F16BCD">
        <w:rPr>
          <w:rFonts w:ascii="Open Sans" w:hAnsi="Open Sans" w:cs="Open Sans"/>
          <w:color w:val="000000"/>
          <w:sz w:val="22"/>
          <w:szCs w:val="22"/>
        </w:rPr>
        <w:t xml:space="preserve"> </w:t>
      </w:r>
      <w:hyperlink r:id="rId14" w:history="1">
        <w:proofErr w:type="spellStart"/>
        <w:r w:rsidR="00F16BCD" w:rsidRPr="003E1489">
          <w:rPr>
            <w:rStyle w:val="Hipervnculo"/>
            <w:rFonts w:ascii="Open Sans" w:hAnsi="Open Sans" w:cs="Open Sans"/>
            <w:sz w:val="22"/>
            <w:szCs w:val="22"/>
          </w:rPr>
          <w:t>Adevinta</w:t>
        </w:r>
        <w:proofErr w:type="spellEnd"/>
      </w:hyperlink>
      <w:r w:rsidR="00F16BCD">
        <w:rPr>
          <w:rFonts w:ascii="Open Sans" w:hAnsi="Open Sans" w:cs="Open Sans"/>
          <w:color w:val="000000"/>
          <w:sz w:val="22"/>
          <w:szCs w:val="22"/>
        </w:rPr>
        <w:t xml:space="preserve">, una empresa 100% especializada en </w:t>
      </w:r>
      <w:proofErr w:type="spellStart"/>
      <w:r w:rsidR="00F16BCD">
        <w:rPr>
          <w:rFonts w:ascii="Open Sans" w:hAnsi="Open Sans" w:cs="Open Sans"/>
          <w:color w:val="000000"/>
          <w:sz w:val="22"/>
          <w:szCs w:val="22"/>
        </w:rPr>
        <w:t>marketplaces</w:t>
      </w:r>
      <w:proofErr w:type="spellEnd"/>
      <w:r w:rsidR="00F16BCD">
        <w:rPr>
          <w:rFonts w:ascii="Open Sans" w:hAnsi="Open Sans" w:cs="Open Sans"/>
          <w:color w:val="000000"/>
          <w:sz w:val="22"/>
          <w:szCs w:val="22"/>
        </w:rPr>
        <w:t xml:space="preserve"> digitales y el único “</w:t>
      </w:r>
      <w:proofErr w:type="spellStart"/>
      <w:r w:rsidR="00F16BCD">
        <w:rPr>
          <w:rFonts w:ascii="Open Sans" w:hAnsi="Open Sans" w:cs="Open Sans"/>
          <w:color w:val="000000"/>
          <w:sz w:val="22"/>
          <w:szCs w:val="22"/>
        </w:rPr>
        <w:t>pure</w:t>
      </w:r>
      <w:proofErr w:type="spellEnd"/>
      <w:r w:rsidR="00F16BCD">
        <w:rPr>
          <w:rFonts w:ascii="Open Sans" w:hAnsi="Open Sans" w:cs="Open Sans"/>
          <w:color w:val="000000"/>
          <w:sz w:val="22"/>
          <w:szCs w:val="22"/>
        </w:rPr>
        <w:t xml:space="preserve"> </w:t>
      </w:r>
      <w:proofErr w:type="spellStart"/>
      <w:r w:rsidR="00F16BCD">
        <w:rPr>
          <w:rFonts w:ascii="Open Sans" w:hAnsi="Open Sans" w:cs="Open Sans"/>
          <w:color w:val="000000"/>
          <w:sz w:val="22"/>
          <w:szCs w:val="22"/>
        </w:rPr>
        <w:t>player</w:t>
      </w:r>
      <w:proofErr w:type="spellEnd"/>
      <w:r w:rsidR="00F16BCD">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rsidR="00F16BCD"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F16BCD" w:rsidRPr="005C38F1" w:rsidRDefault="00F16BCD" w:rsidP="00F16BCD">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15"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16"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17"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18"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19"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0"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1"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rsidR="00DE27A5" w:rsidRDefault="00DE27A5" w:rsidP="00753088">
      <w:pPr>
        <w:spacing w:line="276" w:lineRule="auto"/>
        <w:ind w:right="-574"/>
        <w:jc w:val="right"/>
        <w:rPr>
          <w:rFonts w:ascii="Open Sans Light" w:hAnsi="Open Sans Light" w:cs="Open Sans Light"/>
          <w:b/>
          <w:iCs/>
          <w:color w:val="303AB2"/>
          <w:szCs w:val="20"/>
          <w:lang w:val="es-ES"/>
        </w:rPr>
      </w:pPr>
    </w:p>
    <w:p w:rsidR="00B41A97" w:rsidRPr="000A2AA0" w:rsidRDefault="00B41A97" w:rsidP="00753088">
      <w:pPr>
        <w:spacing w:line="276" w:lineRule="auto"/>
        <w:ind w:right="-574"/>
        <w:jc w:val="right"/>
        <w:rPr>
          <w:rFonts w:ascii="Open Sans Light" w:hAnsi="Open Sans Light" w:cs="Open Sans Light"/>
          <w:b/>
          <w:iCs/>
          <w:color w:val="303AB2"/>
          <w:szCs w:val="20"/>
          <w:lang w:val="es-ES"/>
        </w:rPr>
      </w:pPr>
      <w:bookmarkStart w:id="0" w:name="_GoBack"/>
      <w:bookmarkEnd w:id="0"/>
      <w:r w:rsidRPr="000A2AA0">
        <w:rPr>
          <w:rFonts w:ascii="Open Sans Light" w:hAnsi="Open Sans Light" w:cs="Open Sans Light"/>
          <w:b/>
          <w:iCs/>
          <w:color w:val="303AB2"/>
          <w:szCs w:val="20"/>
          <w:lang w:val="es-ES"/>
        </w:rPr>
        <w:t>Departamento de Comunicación de Fotocasa</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0A2AA0">
        <w:rPr>
          <w:rFonts w:ascii="Open Sans" w:hAnsi="Open Sans" w:cs="Open Sans"/>
          <w:b/>
          <w:bCs/>
          <w:color w:val="000000"/>
          <w:sz w:val="21"/>
          <w:szCs w:val="21"/>
        </w:rPr>
        <w:t>Anaïs López</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Tlf.: 93 576 56 79</w:t>
      </w:r>
    </w:p>
    <w:p w:rsidR="00B41A97" w:rsidRPr="000A2AA0"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0A2AA0">
        <w:rPr>
          <w:rFonts w:ascii="Open Sans" w:hAnsi="Open Sans" w:cs="Open Sans"/>
          <w:color w:val="000000"/>
          <w:sz w:val="21"/>
          <w:szCs w:val="21"/>
        </w:rPr>
        <w:t>Móvil: 620 66 29 26</w:t>
      </w:r>
    </w:p>
    <w:p w:rsidR="00B41A97" w:rsidRPr="000A2AA0" w:rsidRDefault="00DE27A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0A2AA0">
          <w:rPr>
            <w:rStyle w:val="Hipervnculo"/>
            <w:rFonts w:ascii="Open Sans" w:hAnsi="Open Sans" w:cs="Open Sans"/>
            <w:sz w:val="21"/>
            <w:szCs w:val="21"/>
          </w:rPr>
          <w:t>comunicacion@fotocasa.es</w:t>
        </w:r>
      </w:hyperlink>
    </w:p>
    <w:p w:rsidR="00B41A97" w:rsidRPr="000A2AA0" w:rsidRDefault="00DE27A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0A2AA0">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0A2AA0">
        <w:rPr>
          <w:rFonts w:ascii="Open Sans" w:hAnsi="Open Sans" w:cs="Open Sans"/>
          <w:color w:val="000000"/>
          <w:sz w:val="21"/>
          <w:szCs w:val="21"/>
        </w:rPr>
        <w:t>twitter</w:t>
      </w:r>
      <w:proofErr w:type="spellEnd"/>
      <w:r w:rsidRPr="000A2AA0">
        <w:rPr>
          <w:rFonts w:ascii="Open Sans" w:hAnsi="Open Sans" w:cs="Open Sans"/>
          <w:color w:val="000000"/>
          <w:sz w:val="21"/>
          <w:szCs w:val="21"/>
        </w:rPr>
        <w:t>: @</w:t>
      </w:r>
      <w:proofErr w:type="spellStart"/>
      <w:r w:rsidRPr="000A2AA0">
        <w:rPr>
          <w:rFonts w:ascii="Open Sans" w:hAnsi="Open Sans" w:cs="Open Sans"/>
          <w:color w:val="000000"/>
          <w:sz w:val="21"/>
          <w:szCs w:val="21"/>
        </w:rPr>
        <w:t>fotocasa</w:t>
      </w:r>
      <w:proofErr w:type="spellEnd"/>
    </w:p>
    <w:sectPr w:rsidR="00B41A97" w:rsidRPr="00010ECE" w:rsidSect="007A55E0">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5E4E"/>
    <w:multiLevelType w:val="hybridMultilevel"/>
    <w:tmpl w:val="4E8C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B4F"/>
    <w:rsid w:val="00014EC0"/>
    <w:rsid w:val="000270C8"/>
    <w:rsid w:val="00033EB9"/>
    <w:rsid w:val="00036CAF"/>
    <w:rsid w:val="00063144"/>
    <w:rsid w:val="00067375"/>
    <w:rsid w:val="00084308"/>
    <w:rsid w:val="00093D3F"/>
    <w:rsid w:val="000A2AA0"/>
    <w:rsid w:val="000A3C1F"/>
    <w:rsid w:val="000A4242"/>
    <w:rsid w:val="000E1BC5"/>
    <w:rsid w:val="000E7729"/>
    <w:rsid w:val="0010486D"/>
    <w:rsid w:val="00122B54"/>
    <w:rsid w:val="00124BC6"/>
    <w:rsid w:val="0014604E"/>
    <w:rsid w:val="001517D2"/>
    <w:rsid w:val="00152FC9"/>
    <w:rsid w:val="0018017F"/>
    <w:rsid w:val="00196144"/>
    <w:rsid w:val="001A2E79"/>
    <w:rsid w:val="001A6022"/>
    <w:rsid w:val="001C55CD"/>
    <w:rsid w:val="001D02B4"/>
    <w:rsid w:val="001E69C0"/>
    <w:rsid w:val="001F047F"/>
    <w:rsid w:val="00200D9C"/>
    <w:rsid w:val="0021639C"/>
    <w:rsid w:val="00234271"/>
    <w:rsid w:val="0023780F"/>
    <w:rsid w:val="00247090"/>
    <w:rsid w:val="00256BA0"/>
    <w:rsid w:val="0026726B"/>
    <w:rsid w:val="00270140"/>
    <w:rsid w:val="00285782"/>
    <w:rsid w:val="00292293"/>
    <w:rsid w:val="002A35C0"/>
    <w:rsid w:val="002B6C67"/>
    <w:rsid w:val="002B6E3D"/>
    <w:rsid w:val="002B76EA"/>
    <w:rsid w:val="002B7D2A"/>
    <w:rsid w:val="002C4A56"/>
    <w:rsid w:val="002C6D84"/>
    <w:rsid w:val="002F407C"/>
    <w:rsid w:val="0030786F"/>
    <w:rsid w:val="00307DF9"/>
    <w:rsid w:val="003242DF"/>
    <w:rsid w:val="003357D9"/>
    <w:rsid w:val="003519B8"/>
    <w:rsid w:val="00351CB1"/>
    <w:rsid w:val="00386665"/>
    <w:rsid w:val="0039057C"/>
    <w:rsid w:val="00393365"/>
    <w:rsid w:val="00396AF3"/>
    <w:rsid w:val="003A151D"/>
    <w:rsid w:val="003D4F47"/>
    <w:rsid w:val="003E0F0F"/>
    <w:rsid w:val="003F002C"/>
    <w:rsid w:val="003F4390"/>
    <w:rsid w:val="003F648B"/>
    <w:rsid w:val="004029F8"/>
    <w:rsid w:val="00406C13"/>
    <w:rsid w:val="00453FB5"/>
    <w:rsid w:val="00454F4C"/>
    <w:rsid w:val="004577E7"/>
    <w:rsid w:val="004579D4"/>
    <w:rsid w:val="004909A0"/>
    <w:rsid w:val="00492237"/>
    <w:rsid w:val="004B0DEC"/>
    <w:rsid w:val="004D48B4"/>
    <w:rsid w:val="005029E9"/>
    <w:rsid w:val="00503F5B"/>
    <w:rsid w:val="00516F9C"/>
    <w:rsid w:val="00563264"/>
    <w:rsid w:val="00573BDC"/>
    <w:rsid w:val="005759C6"/>
    <w:rsid w:val="00576871"/>
    <w:rsid w:val="00581903"/>
    <w:rsid w:val="00587182"/>
    <w:rsid w:val="00591B57"/>
    <w:rsid w:val="00593D08"/>
    <w:rsid w:val="005A1AD1"/>
    <w:rsid w:val="005A4CB5"/>
    <w:rsid w:val="005B5376"/>
    <w:rsid w:val="005B5634"/>
    <w:rsid w:val="005D12D9"/>
    <w:rsid w:val="005E0920"/>
    <w:rsid w:val="005E71CA"/>
    <w:rsid w:val="005F6CA3"/>
    <w:rsid w:val="00604DC3"/>
    <w:rsid w:val="00606A1A"/>
    <w:rsid w:val="006245F1"/>
    <w:rsid w:val="006251BA"/>
    <w:rsid w:val="0062528B"/>
    <w:rsid w:val="00637401"/>
    <w:rsid w:val="00650951"/>
    <w:rsid w:val="006618CC"/>
    <w:rsid w:val="00697A6B"/>
    <w:rsid w:val="006A5777"/>
    <w:rsid w:val="006B4ED3"/>
    <w:rsid w:val="006D1E41"/>
    <w:rsid w:val="006D5A5C"/>
    <w:rsid w:val="006E77FD"/>
    <w:rsid w:val="006F6575"/>
    <w:rsid w:val="007011B7"/>
    <w:rsid w:val="00701C6F"/>
    <w:rsid w:val="007027AA"/>
    <w:rsid w:val="0071058F"/>
    <w:rsid w:val="00716DE7"/>
    <w:rsid w:val="00736F3A"/>
    <w:rsid w:val="00741CF2"/>
    <w:rsid w:val="0074447E"/>
    <w:rsid w:val="00745018"/>
    <w:rsid w:val="00753088"/>
    <w:rsid w:val="0076156F"/>
    <w:rsid w:val="00786054"/>
    <w:rsid w:val="00786CA1"/>
    <w:rsid w:val="00793775"/>
    <w:rsid w:val="007A2DB6"/>
    <w:rsid w:val="007A3F44"/>
    <w:rsid w:val="007A529E"/>
    <w:rsid w:val="007A55E0"/>
    <w:rsid w:val="007E7286"/>
    <w:rsid w:val="00821FF7"/>
    <w:rsid w:val="00835805"/>
    <w:rsid w:val="00847032"/>
    <w:rsid w:val="00850982"/>
    <w:rsid w:val="00854B99"/>
    <w:rsid w:val="00863400"/>
    <w:rsid w:val="0088476A"/>
    <w:rsid w:val="008871B3"/>
    <w:rsid w:val="008924DB"/>
    <w:rsid w:val="008B478E"/>
    <w:rsid w:val="008B48FC"/>
    <w:rsid w:val="008B72CF"/>
    <w:rsid w:val="008C2B02"/>
    <w:rsid w:val="008D2DD9"/>
    <w:rsid w:val="008D4D2B"/>
    <w:rsid w:val="008D70EE"/>
    <w:rsid w:val="008E1900"/>
    <w:rsid w:val="008E2AD1"/>
    <w:rsid w:val="008F2E5E"/>
    <w:rsid w:val="00901981"/>
    <w:rsid w:val="0090624D"/>
    <w:rsid w:val="0093735E"/>
    <w:rsid w:val="009409BA"/>
    <w:rsid w:val="009555C4"/>
    <w:rsid w:val="00964BED"/>
    <w:rsid w:val="00965179"/>
    <w:rsid w:val="00966CDB"/>
    <w:rsid w:val="00972E67"/>
    <w:rsid w:val="009833C6"/>
    <w:rsid w:val="009A5E1C"/>
    <w:rsid w:val="009C0542"/>
    <w:rsid w:val="009C37AC"/>
    <w:rsid w:val="009D2F77"/>
    <w:rsid w:val="009D718A"/>
    <w:rsid w:val="00A338CE"/>
    <w:rsid w:val="00A626E6"/>
    <w:rsid w:val="00A76E50"/>
    <w:rsid w:val="00A84CA7"/>
    <w:rsid w:val="00A97BA2"/>
    <w:rsid w:val="00AA7816"/>
    <w:rsid w:val="00AC15DB"/>
    <w:rsid w:val="00AD0C78"/>
    <w:rsid w:val="00AD0F7C"/>
    <w:rsid w:val="00AD62DD"/>
    <w:rsid w:val="00AF163D"/>
    <w:rsid w:val="00B04900"/>
    <w:rsid w:val="00B10769"/>
    <w:rsid w:val="00B326D3"/>
    <w:rsid w:val="00B37F47"/>
    <w:rsid w:val="00B41A97"/>
    <w:rsid w:val="00B447B6"/>
    <w:rsid w:val="00B6101B"/>
    <w:rsid w:val="00B668EA"/>
    <w:rsid w:val="00B82525"/>
    <w:rsid w:val="00B85F69"/>
    <w:rsid w:val="00B860BD"/>
    <w:rsid w:val="00B8792B"/>
    <w:rsid w:val="00B97DF8"/>
    <w:rsid w:val="00BC1D19"/>
    <w:rsid w:val="00BF10C3"/>
    <w:rsid w:val="00C16407"/>
    <w:rsid w:val="00C35576"/>
    <w:rsid w:val="00C52A66"/>
    <w:rsid w:val="00C715F1"/>
    <w:rsid w:val="00C87D16"/>
    <w:rsid w:val="00CA3CD4"/>
    <w:rsid w:val="00CA7899"/>
    <w:rsid w:val="00CC2113"/>
    <w:rsid w:val="00CD6ACA"/>
    <w:rsid w:val="00CE2B6C"/>
    <w:rsid w:val="00CE6285"/>
    <w:rsid w:val="00D054B0"/>
    <w:rsid w:val="00D31A57"/>
    <w:rsid w:val="00D33388"/>
    <w:rsid w:val="00D3495E"/>
    <w:rsid w:val="00D47179"/>
    <w:rsid w:val="00D52203"/>
    <w:rsid w:val="00D558FE"/>
    <w:rsid w:val="00D67281"/>
    <w:rsid w:val="00D8274A"/>
    <w:rsid w:val="00D83759"/>
    <w:rsid w:val="00D8519D"/>
    <w:rsid w:val="00D860D3"/>
    <w:rsid w:val="00D91C64"/>
    <w:rsid w:val="00DC68F0"/>
    <w:rsid w:val="00DC7AC3"/>
    <w:rsid w:val="00DD4CA4"/>
    <w:rsid w:val="00DE27A5"/>
    <w:rsid w:val="00DF7849"/>
    <w:rsid w:val="00E054C5"/>
    <w:rsid w:val="00E07D81"/>
    <w:rsid w:val="00E21E6E"/>
    <w:rsid w:val="00E26158"/>
    <w:rsid w:val="00E273A8"/>
    <w:rsid w:val="00E44CE3"/>
    <w:rsid w:val="00E617C4"/>
    <w:rsid w:val="00E845A3"/>
    <w:rsid w:val="00E85B19"/>
    <w:rsid w:val="00EA2CB7"/>
    <w:rsid w:val="00EA721E"/>
    <w:rsid w:val="00EB7EA5"/>
    <w:rsid w:val="00ED11AD"/>
    <w:rsid w:val="00ED6CFA"/>
    <w:rsid w:val="00EE12AE"/>
    <w:rsid w:val="00EE150C"/>
    <w:rsid w:val="00F00B64"/>
    <w:rsid w:val="00F01763"/>
    <w:rsid w:val="00F025DE"/>
    <w:rsid w:val="00F0682A"/>
    <w:rsid w:val="00F137DB"/>
    <w:rsid w:val="00F16BCD"/>
    <w:rsid w:val="00F208DC"/>
    <w:rsid w:val="00F409F1"/>
    <w:rsid w:val="00F447E5"/>
    <w:rsid w:val="00F4634F"/>
    <w:rsid w:val="00F70AAB"/>
    <w:rsid w:val="00F9754E"/>
    <w:rsid w:val="00FA4744"/>
    <w:rsid w:val="00FB324D"/>
    <w:rsid w:val="00FC5E93"/>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161637"/>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12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bbo.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adevinta.com/" TargetMode="External"/><Relationship Id="rId22" Type="http://schemas.openxmlformats.org/officeDocument/2006/relationships/hyperlink" Target="file:///\\servidor\Users\Techsales%20Comunicaci&#243;n\CLIENTES\Fotocasa\fotocasa%202018\NP%20&#205;NDICES\Ndp%20&#237;ndices%20SEPTIEMBRE\Nueva%20Imagen%20Venta%20apoy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56E5-5F97-4B04-8FC3-383CC3D5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3</Pages>
  <Words>1098</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161</cp:revision>
  <dcterms:created xsi:type="dcterms:W3CDTF">2018-09-28T10:44:00Z</dcterms:created>
  <dcterms:modified xsi:type="dcterms:W3CDTF">2019-06-13T07:52:00Z</dcterms:modified>
</cp:coreProperties>
</file>