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B581B" w14:textId="77777777" w:rsidR="00A84CA7" w:rsidRDefault="00A84CA7" w:rsidP="00753088">
      <w:pPr>
        <w:ind w:right="-574"/>
      </w:pPr>
      <w:r>
        <w:rPr>
          <w:rFonts w:ascii="National" w:hAnsi="National"/>
          <w:noProof/>
          <w:color w:val="303AB2"/>
          <w:sz w:val="36"/>
          <w:szCs w:val="36"/>
          <w:lang w:val="es-ES" w:eastAsia="es-ES" w:bidi="ks-Deva"/>
        </w:rPr>
        <w:drawing>
          <wp:anchor distT="0" distB="0" distL="114300" distR="114300" simplePos="0" relativeHeight="251658240" behindDoc="0" locked="0" layoutInCell="1" allowOverlap="1" wp14:anchorId="7E8498C5" wp14:editId="3FE5B347">
            <wp:simplePos x="0" y="0"/>
            <wp:positionH relativeFrom="column">
              <wp:posOffset>-1078865</wp:posOffset>
            </wp:positionH>
            <wp:positionV relativeFrom="paragraph">
              <wp:posOffset>-350453</wp:posOffset>
            </wp:positionV>
            <wp:extent cx="7581265" cy="101917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era_Nd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265" cy="1019175"/>
                    </a:xfrm>
                    <a:prstGeom prst="rect">
                      <a:avLst/>
                    </a:prstGeom>
                  </pic:spPr>
                </pic:pic>
              </a:graphicData>
            </a:graphic>
            <wp14:sizeRelH relativeFrom="page">
              <wp14:pctWidth>0</wp14:pctWidth>
            </wp14:sizeRelH>
            <wp14:sizeRelV relativeFrom="page">
              <wp14:pctHeight>0</wp14:pctHeight>
            </wp14:sizeRelV>
          </wp:anchor>
        </w:drawing>
      </w:r>
    </w:p>
    <w:p w14:paraId="486FE717" w14:textId="77777777" w:rsidR="008B29C8" w:rsidRDefault="00764386" w:rsidP="00753088">
      <w:pPr>
        <w:ind w:right="-574"/>
        <w:jc w:val="right"/>
        <w:rPr>
          <w:rFonts w:ascii="National" w:hAnsi="National"/>
          <w:color w:val="303AB2"/>
          <w:sz w:val="36"/>
          <w:szCs w:val="36"/>
        </w:rPr>
      </w:pPr>
    </w:p>
    <w:p w14:paraId="08012AAF" w14:textId="77777777" w:rsidR="00A84CA7" w:rsidRDefault="00A84CA7" w:rsidP="00753088">
      <w:pPr>
        <w:ind w:right="-574"/>
        <w:jc w:val="right"/>
        <w:rPr>
          <w:rFonts w:ascii="National" w:hAnsi="National"/>
          <w:color w:val="303AB2"/>
          <w:sz w:val="36"/>
          <w:szCs w:val="36"/>
        </w:rPr>
      </w:pPr>
    </w:p>
    <w:p w14:paraId="2FCF406F" w14:textId="77777777" w:rsidR="00A84CA7" w:rsidRDefault="00A84CA7" w:rsidP="00753088">
      <w:pPr>
        <w:ind w:right="-574"/>
        <w:rPr>
          <w:rFonts w:ascii="National" w:hAnsi="National"/>
          <w:color w:val="303AB2"/>
          <w:sz w:val="36"/>
          <w:szCs w:val="36"/>
        </w:rPr>
      </w:pPr>
    </w:p>
    <w:p w14:paraId="3CE7B964" w14:textId="2603A908" w:rsidR="00753088" w:rsidRPr="00753088" w:rsidRDefault="00E05B4E" w:rsidP="00753088">
      <w:pPr>
        <w:spacing w:line="276" w:lineRule="auto"/>
        <w:ind w:right="-574"/>
        <w:jc w:val="center"/>
        <w:rPr>
          <w:rFonts w:ascii="National" w:hAnsi="National"/>
          <w:b/>
          <w:bCs/>
          <w:iCs/>
          <w:color w:val="1DBDC5"/>
          <w:sz w:val="42"/>
          <w:szCs w:val="52"/>
          <w:lang w:val="es-ES"/>
        </w:rPr>
      </w:pPr>
      <w:r>
        <w:rPr>
          <w:rFonts w:ascii="National" w:hAnsi="National"/>
          <w:b/>
          <w:bCs/>
          <w:iCs/>
          <w:color w:val="1DBDC5"/>
          <w:sz w:val="42"/>
          <w:szCs w:val="52"/>
          <w:lang w:val="es-ES"/>
        </w:rPr>
        <w:t>ABRIL</w:t>
      </w:r>
      <w:r w:rsidR="00753088" w:rsidRPr="00753088">
        <w:rPr>
          <w:rFonts w:ascii="National" w:hAnsi="National"/>
          <w:b/>
          <w:bCs/>
          <w:iCs/>
          <w:color w:val="1DBDC5"/>
          <w:sz w:val="42"/>
          <w:szCs w:val="52"/>
          <w:lang w:val="es-ES"/>
        </w:rPr>
        <w:t>: PRECIO VIVIENDA EN VENTA</w:t>
      </w:r>
    </w:p>
    <w:p w14:paraId="20C00DB8" w14:textId="4EEF1864" w:rsidR="00A84CA7" w:rsidRPr="001E61FA" w:rsidRDefault="00FF53CF" w:rsidP="00FF53CF">
      <w:pPr>
        <w:ind w:right="-574"/>
        <w:jc w:val="center"/>
        <w:rPr>
          <w:rFonts w:ascii="National" w:hAnsi="National"/>
          <w:b/>
          <w:bCs/>
          <w:iCs/>
          <w:color w:val="303AB2"/>
          <w:sz w:val="46"/>
          <w:szCs w:val="72"/>
          <w:lang w:val="es-ES"/>
        </w:rPr>
      </w:pPr>
      <w:r w:rsidRPr="001E61FA">
        <w:rPr>
          <w:rFonts w:ascii="National" w:hAnsi="National"/>
          <w:b/>
          <w:bCs/>
          <w:iCs/>
          <w:color w:val="303AB2"/>
          <w:sz w:val="46"/>
          <w:szCs w:val="72"/>
          <w:lang w:val="es-ES"/>
        </w:rPr>
        <w:t xml:space="preserve">El precio de la vivienda de segunda mano </w:t>
      </w:r>
      <w:r w:rsidR="00B745C5">
        <w:rPr>
          <w:rFonts w:ascii="National" w:hAnsi="National"/>
          <w:b/>
          <w:bCs/>
          <w:iCs/>
          <w:color w:val="303AB2"/>
          <w:sz w:val="46"/>
          <w:szCs w:val="72"/>
          <w:lang w:val="es-ES"/>
        </w:rPr>
        <w:t>desciende un -0,5</w:t>
      </w:r>
      <w:r w:rsidR="00C06F44" w:rsidRPr="001E61FA">
        <w:rPr>
          <w:rFonts w:ascii="National" w:hAnsi="National"/>
          <w:b/>
          <w:bCs/>
          <w:iCs/>
          <w:color w:val="303AB2"/>
          <w:sz w:val="46"/>
          <w:szCs w:val="72"/>
          <w:lang w:val="es-ES"/>
        </w:rPr>
        <w:t xml:space="preserve">% en </w:t>
      </w:r>
      <w:r w:rsidR="008A3781">
        <w:rPr>
          <w:rFonts w:ascii="National" w:hAnsi="National"/>
          <w:b/>
          <w:bCs/>
          <w:iCs/>
          <w:color w:val="303AB2"/>
          <w:sz w:val="46"/>
          <w:szCs w:val="72"/>
          <w:lang w:val="es-ES"/>
        </w:rPr>
        <w:t xml:space="preserve">el mes de </w:t>
      </w:r>
      <w:r w:rsidR="00B745C5">
        <w:rPr>
          <w:rFonts w:ascii="National" w:hAnsi="National"/>
          <w:b/>
          <w:bCs/>
          <w:iCs/>
          <w:color w:val="303AB2"/>
          <w:sz w:val="46"/>
          <w:szCs w:val="72"/>
          <w:lang w:val="es-ES"/>
        </w:rPr>
        <w:t>abril</w:t>
      </w:r>
    </w:p>
    <w:p w14:paraId="02DAFDE6" w14:textId="77777777" w:rsidR="00C06F44" w:rsidRPr="005029E9" w:rsidRDefault="00C06F44" w:rsidP="00FF53CF">
      <w:pPr>
        <w:ind w:right="-574"/>
        <w:jc w:val="center"/>
        <w:rPr>
          <w:rFonts w:ascii="National" w:hAnsi="National"/>
          <w:b/>
          <w:bCs/>
          <w:iCs/>
          <w:color w:val="303AB2"/>
          <w:sz w:val="36"/>
          <w:szCs w:val="36"/>
          <w:lang w:val="es-ES"/>
        </w:rPr>
      </w:pPr>
    </w:p>
    <w:p w14:paraId="047D98CF" w14:textId="5D09F16D" w:rsidR="0068693D" w:rsidRDefault="0068693D" w:rsidP="00FF53CF">
      <w:pPr>
        <w:pStyle w:val="Prrafodelista"/>
        <w:numPr>
          <w:ilvl w:val="0"/>
          <w:numId w:val="7"/>
        </w:numPr>
        <w:spacing w:line="276" w:lineRule="auto"/>
        <w:ind w:right="-574"/>
        <w:rPr>
          <w:rFonts w:ascii="Open Sans" w:eastAsia="Times New Roman" w:hAnsi="Open Sans" w:cs="Open Sans"/>
          <w:color w:val="000000"/>
          <w:sz w:val="22"/>
          <w:szCs w:val="22"/>
          <w:lang w:val="es-ES" w:eastAsia="es-ES_tradnl"/>
        </w:rPr>
      </w:pPr>
      <w:r>
        <w:rPr>
          <w:rFonts w:ascii="Open Sans" w:eastAsia="Times New Roman" w:hAnsi="Open Sans" w:cs="Open Sans"/>
          <w:color w:val="000000"/>
          <w:sz w:val="22"/>
          <w:szCs w:val="22"/>
          <w:lang w:val="es-ES" w:eastAsia="es-ES_tradnl"/>
        </w:rPr>
        <w:t>Se trata de la primera caída mensual de los últimos 27 meses</w:t>
      </w:r>
    </w:p>
    <w:p w14:paraId="2B3AB257" w14:textId="6F4C51C8" w:rsidR="007D43C2" w:rsidRPr="0068693D" w:rsidRDefault="00FF53CF" w:rsidP="007E58FC">
      <w:pPr>
        <w:pStyle w:val="Prrafodelista"/>
        <w:numPr>
          <w:ilvl w:val="0"/>
          <w:numId w:val="7"/>
        </w:numPr>
        <w:spacing w:line="276" w:lineRule="auto"/>
        <w:ind w:right="-574"/>
        <w:rPr>
          <w:rFonts w:ascii="Open Sans" w:eastAsia="Times New Roman" w:hAnsi="Open Sans" w:cs="Open Sans"/>
          <w:color w:val="000000"/>
          <w:sz w:val="22"/>
          <w:szCs w:val="22"/>
          <w:lang w:val="es-ES" w:eastAsia="es-ES_tradnl"/>
        </w:rPr>
      </w:pPr>
      <w:r w:rsidRPr="0068693D">
        <w:rPr>
          <w:rFonts w:ascii="Open Sans" w:eastAsia="Times New Roman" w:hAnsi="Open Sans" w:cs="Open Sans"/>
          <w:color w:val="000000"/>
          <w:sz w:val="22"/>
          <w:szCs w:val="22"/>
          <w:lang w:val="es-ES" w:eastAsia="es-ES_tradnl"/>
        </w:rPr>
        <w:t xml:space="preserve">Interanualmente, el precio de </w:t>
      </w:r>
      <w:r w:rsidR="007D43C2" w:rsidRPr="0068693D">
        <w:rPr>
          <w:rFonts w:ascii="Open Sans" w:eastAsia="Times New Roman" w:hAnsi="Open Sans" w:cs="Open Sans"/>
          <w:color w:val="000000"/>
          <w:sz w:val="22"/>
          <w:szCs w:val="22"/>
          <w:lang w:val="es-ES" w:eastAsia="es-ES_tradnl"/>
        </w:rPr>
        <w:t xml:space="preserve">la vivienda se incrementa un </w:t>
      </w:r>
      <w:r w:rsidR="0068693D" w:rsidRPr="0068693D">
        <w:rPr>
          <w:rFonts w:ascii="Open Sans" w:eastAsia="Times New Roman" w:hAnsi="Open Sans" w:cs="Open Sans"/>
          <w:color w:val="000000"/>
          <w:sz w:val="22"/>
          <w:szCs w:val="22"/>
          <w:lang w:val="es-ES" w:eastAsia="es-ES_tradnl"/>
        </w:rPr>
        <w:t>7,1</w:t>
      </w:r>
      <w:r w:rsidR="009B6AE8" w:rsidRPr="0068693D">
        <w:rPr>
          <w:rFonts w:ascii="Open Sans" w:eastAsia="Times New Roman" w:hAnsi="Open Sans" w:cs="Open Sans"/>
          <w:color w:val="000000"/>
          <w:sz w:val="22"/>
          <w:szCs w:val="22"/>
          <w:lang w:val="es-ES" w:eastAsia="es-ES_tradnl"/>
        </w:rPr>
        <w:t xml:space="preserve">% y suma </w:t>
      </w:r>
      <w:r w:rsidR="0068693D" w:rsidRPr="0068693D">
        <w:rPr>
          <w:rFonts w:ascii="Open Sans" w:eastAsia="Times New Roman" w:hAnsi="Open Sans" w:cs="Open Sans"/>
          <w:color w:val="000000"/>
          <w:sz w:val="22"/>
          <w:szCs w:val="22"/>
          <w:lang w:val="es-ES" w:eastAsia="es-ES_tradnl"/>
        </w:rPr>
        <w:t>31</w:t>
      </w:r>
      <w:r w:rsidR="007D43C2" w:rsidRPr="0068693D">
        <w:rPr>
          <w:rFonts w:ascii="Open Sans" w:eastAsia="Times New Roman" w:hAnsi="Open Sans" w:cs="Open Sans"/>
          <w:color w:val="000000"/>
          <w:sz w:val="22"/>
          <w:szCs w:val="22"/>
          <w:lang w:val="es-ES" w:eastAsia="es-ES_tradnl"/>
        </w:rPr>
        <w:t xml:space="preserve"> meses consecutivos de incrementos</w:t>
      </w:r>
    </w:p>
    <w:p w14:paraId="05D86B5B" w14:textId="65E6491D" w:rsidR="00FF53CF" w:rsidRPr="0068693D" w:rsidRDefault="0068693D" w:rsidP="007E58FC">
      <w:pPr>
        <w:pStyle w:val="Prrafodelista"/>
        <w:numPr>
          <w:ilvl w:val="0"/>
          <w:numId w:val="7"/>
        </w:numPr>
        <w:spacing w:line="276" w:lineRule="auto"/>
        <w:ind w:right="-574"/>
        <w:rPr>
          <w:rFonts w:ascii="Open Sans" w:eastAsia="Times New Roman" w:hAnsi="Open Sans" w:cs="Open Sans"/>
          <w:color w:val="000000"/>
          <w:sz w:val="22"/>
          <w:szCs w:val="22"/>
          <w:lang w:val="es-ES" w:eastAsia="es-ES_tradnl"/>
        </w:rPr>
      </w:pPr>
      <w:r w:rsidRPr="0068693D">
        <w:rPr>
          <w:rFonts w:ascii="Open Sans" w:eastAsia="Times New Roman" w:hAnsi="Open Sans" w:cs="Open Sans"/>
          <w:color w:val="000000"/>
          <w:sz w:val="22"/>
          <w:szCs w:val="22"/>
          <w:lang w:val="es-ES" w:eastAsia="es-ES_tradnl"/>
        </w:rPr>
        <w:t>39 provincias registran descensos mensuales en el mes de abril</w:t>
      </w:r>
    </w:p>
    <w:p w14:paraId="5A9B3AEE" w14:textId="58BF6EE8" w:rsidR="00FF53CF" w:rsidRPr="00556DD9" w:rsidRDefault="00FF53CF" w:rsidP="00FF53CF">
      <w:pPr>
        <w:pStyle w:val="Prrafodelista"/>
        <w:numPr>
          <w:ilvl w:val="0"/>
          <w:numId w:val="7"/>
        </w:numPr>
        <w:spacing w:line="276" w:lineRule="auto"/>
        <w:ind w:right="-574"/>
        <w:rPr>
          <w:rFonts w:ascii="Open Sans" w:eastAsia="Times New Roman" w:hAnsi="Open Sans" w:cs="Open Sans"/>
          <w:color w:val="000000"/>
          <w:sz w:val="22"/>
          <w:szCs w:val="22"/>
          <w:lang w:val="es-ES" w:eastAsia="es-ES_tradnl"/>
        </w:rPr>
      </w:pPr>
      <w:r w:rsidRPr="00556DD9">
        <w:rPr>
          <w:rFonts w:ascii="Open Sans" w:eastAsia="Times New Roman" w:hAnsi="Open Sans" w:cs="Open Sans"/>
          <w:color w:val="000000"/>
          <w:sz w:val="22"/>
          <w:szCs w:val="22"/>
          <w:lang w:val="es-ES" w:eastAsia="es-ES_tradnl"/>
        </w:rPr>
        <w:t xml:space="preserve">Sube el precio en </w:t>
      </w:r>
      <w:r w:rsidR="00831318" w:rsidRPr="00556DD9">
        <w:rPr>
          <w:rFonts w:ascii="Open Sans" w:eastAsia="Times New Roman" w:hAnsi="Open Sans" w:cs="Open Sans"/>
          <w:color w:val="000000"/>
          <w:sz w:val="22"/>
          <w:szCs w:val="22"/>
          <w:lang w:val="es-ES" w:eastAsia="es-ES_tradnl"/>
        </w:rPr>
        <w:t>1</w:t>
      </w:r>
      <w:r w:rsidR="00556DD9" w:rsidRPr="00556DD9">
        <w:rPr>
          <w:rFonts w:ascii="Open Sans" w:eastAsia="Times New Roman" w:hAnsi="Open Sans" w:cs="Open Sans"/>
          <w:color w:val="000000"/>
          <w:sz w:val="22"/>
          <w:szCs w:val="22"/>
          <w:lang w:val="es-ES" w:eastAsia="es-ES_tradnl"/>
        </w:rPr>
        <w:t>5</w:t>
      </w:r>
      <w:r w:rsidR="009B6AE8" w:rsidRPr="00556DD9">
        <w:rPr>
          <w:rFonts w:ascii="Open Sans" w:eastAsia="Times New Roman" w:hAnsi="Open Sans" w:cs="Open Sans"/>
          <w:color w:val="000000"/>
          <w:sz w:val="22"/>
          <w:szCs w:val="22"/>
          <w:lang w:val="es-ES" w:eastAsia="es-ES_tradnl"/>
        </w:rPr>
        <w:t xml:space="preserve"> distritos de Madrid y </w:t>
      </w:r>
      <w:r w:rsidR="00831318" w:rsidRPr="00556DD9">
        <w:rPr>
          <w:rFonts w:ascii="Open Sans" w:eastAsia="Times New Roman" w:hAnsi="Open Sans" w:cs="Open Sans"/>
          <w:color w:val="000000"/>
          <w:sz w:val="22"/>
          <w:szCs w:val="22"/>
          <w:lang w:val="es-ES" w:eastAsia="es-ES_tradnl"/>
        </w:rPr>
        <w:t xml:space="preserve">en </w:t>
      </w:r>
      <w:r w:rsidR="00556DD9" w:rsidRPr="00556DD9">
        <w:rPr>
          <w:rFonts w:ascii="Open Sans" w:eastAsia="Times New Roman" w:hAnsi="Open Sans" w:cs="Open Sans"/>
          <w:color w:val="000000"/>
          <w:sz w:val="22"/>
          <w:szCs w:val="22"/>
          <w:lang w:val="es-ES" w:eastAsia="es-ES_tradnl"/>
        </w:rPr>
        <w:t>siete</w:t>
      </w:r>
      <w:r w:rsidR="00831318" w:rsidRPr="00556DD9">
        <w:rPr>
          <w:rFonts w:ascii="Open Sans" w:eastAsia="Times New Roman" w:hAnsi="Open Sans" w:cs="Open Sans"/>
          <w:color w:val="000000"/>
          <w:sz w:val="22"/>
          <w:szCs w:val="22"/>
          <w:lang w:val="es-ES" w:eastAsia="es-ES_tradnl"/>
        </w:rPr>
        <w:t xml:space="preserve"> de Barcelona</w:t>
      </w:r>
    </w:p>
    <w:p w14:paraId="10309122" w14:textId="77777777" w:rsidR="007836C2" w:rsidRDefault="007836C2" w:rsidP="00753088">
      <w:pPr>
        <w:spacing w:line="276" w:lineRule="auto"/>
        <w:ind w:right="-574"/>
        <w:rPr>
          <w:rFonts w:ascii="Open Sans Light" w:hAnsi="Open Sans Light" w:cs="Open Sans Light"/>
          <w:b/>
          <w:iCs/>
          <w:color w:val="303AB2"/>
          <w:szCs w:val="20"/>
          <w:lang w:val="es-ES"/>
        </w:rPr>
      </w:pPr>
    </w:p>
    <w:p w14:paraId="7EBA7128" w14:textId="484F990C" w:rsidR="00B745C5" w:rsidRPr="00156D22" w:rsidRDefault="00753088" w:rsidP="00156D22">
      <w:pPr>
        <w:spacing w:line="276" w:lineRule="auto"/>
        <w:ind w:right="-574"/>
        <w:rPr>
          <w:rFonts w:ascii="Open Sans Light" w:hAnsi="Open Sans Light" w:cs="Open Sans Light"/>
          <w:b/>
          <w:iCs/>
          <w:color w:val="303AB2"/>
          <w:szCs w:val="20"/>
          <w:lang w:val="es-ES"/>
        </w:rPr>
      </w:pPr>
      <w:r>
        <w:rPr>
          <w:rFonts w:ascii="Open Sans Light" w:hAnsi="Open Sans Light" w:cs="Open Sans Light"/>
          <w:b/>
          <w:iCs/>
          <w:color w:val="303AB2"/>
          <w:szCs w:val="20"/>
          <w:lang w:val="es-ES"/>
        </w:rPr>
        <w:t xml:space="preserve">Madrid, </w:t>
      </w:r>
      <w:r w:rsidR="00E05B4E">
        <w:rPr>
          <w:rFonts w:ascii="Open Sans Light" w:hAnsi="Open Sans Light" w:cs="Open Sans Light"/>
          <w:b/>
          <w:iCs/>
          <w:color w:val="303AB2"/>
          <w:szCs w:val="20"/>
          <w:lang w:val="es-ES"/>
        </w:rPr>
        <w:t>6 de mayo</w:t>
      </w:r>
      <w:r w:rsidR="002A35C0" w:rsidRPr="002A35C0">
        <w:rPr>
          <w:rFonts w:ascii="Open Sans Light" w:hAnsi="Open Sans Light" w:cs="Open Sans Light"/>
          <w:b/>
          <w:iCs/>
          <w:color w:val="303AB2"/>
          <w:szCs w:val="20"/>
          <w:lang w:val="es-ES"/>
        </w:rPr>
        <w:t xml:space="preserve"> de 201</w:t>
      </w:r>
      <w:r w:rsidR="000F6560">
        <w:rPr>
          <w:rFonts w:ascii="Open Sans Light" w:hAnsi="Open Sans Light" w:cs="Open Sans Light"/>
          <w:b/>
          <w:iCs/>
          <w:color w:val="303AB2"/>
          <w:szCs w:val="20"/>
          <w:lang w:val="es-ES"/>
        </w:rPr>
        <w:t>9</w:t>
      </w:r>
      <w:r w:rsidR="00156D22">
        <w:rPr>
          <w:rFonts w:ascii="Open Sans Light" w:hAnsi="Open Sans Light" w:cs="Open Sans Light"/>
          <w:b/>
          <w:iCs/>
          <w:color w:val="303AB2"/>
          <w:szCs w:val="20"/>
          <w:lang w:val="es-ES"/>
        </w:rPr>
        <w:t xml:space="preserve">- </w:t>
      </w:r>
      <w:bookmarkStart w:id="0" w:name="_GoBack"/>
      <w:bookmarkEnd w:id="0"/>
      <w:r w:rsidR="00FF53CF" w:rsidRPr="00FF53CF">
        <w:rPr>
          <w:rFonts w:ascii="Open Sans" w:hAnsi="Open Sans" w:cs="Open Sans"/>
          <w:color w:val="000000"/>
        </w:rPr>
        <w:t xml:space="preserve">El precio medio de la vivienda de segunda mano en España se sitúa en </w:t>
      </w:r>
      <w:r w:rsidR="00B745C5">
        <w:rPr>
          <w:rFonts w:ascii="Open Sans" w:hAnsi="Open Sans" w:cs="Open Sans"/>
          <w:color w:val="000000"/>
        </w:rPr>
        <w:t>abril</w:t>
      </w:r>
      <w:r w:rsidR="007D43C2">
        <w:rPr>
          <w:rFonts w:ascii="Open Sans" w:hAnsi="Open Sans" w:cs="Open Sans"/>
          <w:color w:val="000000"/>
        </w:rPr>
        <w:t xml:space="preserve"> </w:t>
      </w:r>
      <w:r w:rsidR="00FF53CF" w:rsidRPr="00FF53CF">
        <w:rPr>
          <w:rFonts w:ascii="Open Sans" w:hAnsi="Open Sans" w:cs="Open Sans"/>
          <w:color w:val="000000"/>
        </w:rPr>
        <w:t>en 1.8</w:t>
      </w:r>
      <w:r w:rsidR="00B745C5">
        <w:rPr>
          <w:rFonts w:ascii="Open Sans" w:hAnsi="Open Sans" w:cs="Open Sans"/>
          <w:color w:val="000000"/>
        </w:rPr>
        <w:t>91</w:t>
      </w:r>
      <w:r w:rsidR="00FF53CF" w:rsidRPr="00FF53CF">
        <w:rPr>
          <w:rFonts w:ascii="Open Sans" w:hAnsi="Open Sans" w:cs="Open Sans"/>
          <w:color w:val="000000"/>
        </w:rPr>
        <w:t xml:space="preserve"> €/m2 y </w:t>
      </w:r>
      <w:r w:rsidR="00B745C5">
        <w:rPr>
          <w:rFonts w:ascii="Open Sans" w:hAnsi="Open Sans" w:cs="Open Sans"/>
          <w:color w:val="000000"/>
        </w:rPr>
        <w:t xml:space="preserve">desciende un -0,5% en abril, </w:t>
      </w:r>
      <w:r w:rsidR="00B70D0B">
        <w:rPr>
          <w:rFonts w:ascii="Open Sans" w:hAnsi="Open Sans" w:cs="Open Sans"/>
          <w:color w:val="000000"/>
        </w:rPr>
        <w:t>s</w:t>
      </w:r>
      <w:r w:rsidR="00FF53CF" w:rsidRPr="00FF53CF">
        <w:rPr>
          <w:rFonts w:ascii="Open Sans" w:hAnsi="Open Sans" w:cs="Open Sans"/>
          <w:color w:val="000000"/>
        </w:rPr>
        <w:t>egún datos del portal inmobiliario </w:t>
      </w:r>
      <w:hyperlink r:id="rId9" w:history="1">
        <w:r w:rsidR="00FF53CF" w:rsidRPr="00B10769">
          <w:rPr>
            <w:rStyle w:val="Hipervnculo"/>
            <w:rFonts w:ascii="Open Sans" w:hAnsi="Open Sans" w:cs="Open Sans"/>
            <w:b/>
            <w:bCs/>
          </w:rPr>
          <w:t>Fotocasa</w:t>
        </w:r>
      </w:hyperlink>
      <w:r w:rsidR="00FF53CF" w:rsidRPr="00FF53CF">
        <w:rPr>
          <w:rFonts w:ascii="Open Sans" w:hAnsi="Open Sans" w:cs="Open Sans"/>
          <w:color w:val="000000"/>
        </w:rPr>
        <w:t>.</w:t>
      </w:r>
      <w:r w:rsidR="009D0F6B">
        <w:rPr>
          <w:rFonts w:ascii="Open Sans" w:hAnsi="Open Sans" w:cs="Open Sans"/>
          <w:color w:val="000000"/>
        </w:rPr>
        <w:t xml:space="preserve"> </w:t>
      </w:r>
      <w:r w:rsidR="00B745C5">
        <w:rPr>
          <w:rFonts w:ascii="Open Sans" w:hAnsi="Open Sans" w:cs="Open Sans"/>
          <w:color w:val="000000"/>
        </w:rPr>
        <w:t xml:space="preserve">Este leve descenso mensual es el primero que se produce en los últimos 27 meses. Fue en diciembre de 2016 cuando se registró el último descenso mensual en el precio de la vivienda de segunda mano, con un leve descenso del -0,3%. </w:t>
      </w:r>
      <w:r w:rsidR="004D5B16">
        <w:rPr>
          <w:rFonts w:ascii="Open Sans" w:hAnsi="Open Sans" w:cs="Open Sans"/>
          <w:color w:val="000000"/>
        </w:rPr>
        <w:t>Así, durante el pasado año el precio mensual se ha ido moviendo con pequeños incrementos mensuales entre el 0,3% y el 0,9%</w:t>
      </w:r>
      <w:r w:rsidR="006E6E44">
        <w:rPr>
          <w:rFonts w:ascii="Open Sans" w:hAnsi="Open Sans" w:cs="Open Sans"/>
          <w:color w:val="000000"/>
        </w:rPr>
        <w:t>.</w:t>
      </w:r>
    </w:p>
    <w:p w14:paraId="3671B51D" w14:textId="2C6BAAAC" w:rsidR="009D0F6B" w:rsidRDefault="00FF53CF" w:rsidP="00FF53CF">
      <w:pPr>
        <w:pStyle w:val="NormalWeb"/>
        <w:shd w:val="clear" w:color="auto" w:fill="FFFFFF"/>
        <w:spacing w:after="225" w:line="276" w:lineRule="auto"/>
        <w:ind w:right="-574"/>
        <w:jc w:val="both"/>
        <w:rPr>
          <w:rFonts w:ascii="Open Sans" w:hAnsi="Open Sans" w:cs="Open Sans"/>
          <w:color w:val="000000"/>
        </w:rPr>
      </w:pPr>
      <w:r w:rsidRPr="00FF53CF">
        <w:rPr>
          <w:rFonts w:ascii="Open Sans" w:hAnsi="Open Sans" w:cs="Open Sans"/>
          <w:color w:val="000000"/>
        </w:rPr>
        <w:t xml:space="preserve">Respecto a la variación interanual, en </w:t>
      </w:r>
      <w:r w:rsidR="006E6E44">
        <w:rPr>
          <w:rFonts w:ascii="Open Sans" w:hAnsi="Open Sans" w:cs="Open Sans"/>
          <w:color w:val="000000"/>
        </w:rPr>
        <w:t>abril</w:t>
      </w:r>
      <w:r w:rsidRPr="00FF53CF">
        <w:rPr>
          <w:rFonts w:ascii="Open Sans" w:hAnsi="Open Sans" w:cs="Open Sans"/>
          <w:color w:val="000000"/>
        </w:rPr>
        <w:t xml:space="preserve"> de 201</w:t>
      </w:r>
      <w:r w:rsidR="00314636">
        <w:rPr>
          <w:rFonts w:ascii="Open Sans" w:hAnsi="Open Sans" w:cs="Open Sans"/>
          <w:color w:val="000000"/>
        </w:rPr>
        <w:t>9</w:t>
      </w:r>
      <w:r w:rsidRPr="00FF53CF">
        <w:rPr>
          <w:rFonts w:ascii="Open Sans" w:hAnsi="Open Sans" w:cs="Open Sans"/>
          <w:color w:val="000000"/>
        </w:rPr>
        <w:t xml:space="preserve"> el precio de la vivienda de segunda mano sub</w:t>
      </w:r>
      <w:r w:rsidR="009D0F6B">
        <w:rPr>
          <w:rFonts w:ascii="Open Sans" w:hAnsi="Open Sans" w:cs="Open Sans"/>
          <w:color w:val="000000"/>
        </w:rPr>
        <w:t xml:space="preserve">e un </w:t>
      </w:r>
      <w:r w:rsidR="006E6E44">
        <w:rPr>
          <w:rFonts w:ascii="Open Sans" w:hAnsi="Open Sans" w:cs="Open Sans"/>
          <w:color w:val="000000"/>
        </w:rPr>
        <w:t>7,1</w:t>
      </w:r>
      <w:r w:rsidRPr="00FF53CF">
        <w:rPr>
          <w:rFonts w:ascii="Open Sans" w:hAnsi="Open Sans" w:cs="Open Sans"/>
          <w:color w:val="000000"/>
        </w:rPr>
        <w:t xml:space="preserve">% y encadena </w:t>
      </w:r>
      <w:r w:rsidR="006E6E44">
        <w:rPr>
          <w:rFonts w:ascii="Open Sans" w:hAnsi="Open Sans" w:cs="Open Sans"/>
          <w:color w:val="000000"/>
        </w:rPr>
        <w:t>31</w:t>
      </w:r>
      <w:r w:rsidRPr="00FF53CF">
        <w:rPr>
          <w:rFonts w:ascii="Open Sans" w:hAnsi="Open Sans" w:cs="Open Sans"/>
          <w:color w:val="000000"/>
        </w:rPr>
        <w:t xml:space="preserve"> meses de subidas interanuales consecutivas. </w:t>
      </w:r>
      <w:r w:rsidR="009D0F6B">
        <w:rPr>
          <w:rFonts w:ascii="Open Sans" w:hAnsi="Open Sans" w:cs="Open Sans"/>
          <w:color w:val="000000"/>
        </w:rPr>
        <w:t xml:space="preserve">De hecho, los últimos </w:t>
      </w:r>
      <w:r w:rsidR="006E6E44">
        <w:rPr>
          <w:rFonts w:ascii="Open Sans" w:hAnsi="Open Sans" w:cs="Open Sans"/>
          <w:color w:val="000000"/>
        </w:rPr>
        <w:t>10</w:t>
      </w:r>
      <w:r w:rsidR="009D0F6B">
        <w:rPr>
          <w:rFonts w:ascii="Open Sans" w:hAnsi="Open Sans" w:cs="Open Sans"/>
          <w:color w:val="000000"/>
        </w:rPr>
        <w:t xml:space="preserve"> meses la variación interanual se sitúa por encima del 7%</w:t>
      </w:r>
      <w:r w:rsidR="00074288">
        <w:rPr>
          <w:rFonts w:ascii="Open Sans" w:hAnsi="Open Sans" w:cs="Open Sans"/>
          <w:color w:val="000000"/>
        </w:rPr>
        <w:t xml:space="preserve"> y el pasado mes de </w:t>
      </w:r>
      <w:r w:rsidR="006E6E44">
        <w:rPr>
          <w:rFonts w:ascii="Open Sans" w:hAnsi="Open Sans" w:cs="Open Sans"/>
          <w:color w:val="000000"/>
        </w:rPr>
        <w:t>marzo</w:t>
      </w:r>
      <w:r w:rsidR="009D0F6B">
        <w:rPr>
          <w:rFonts w:ascii="Open Sans" w:hAnsi="Open Sans" w:cs="Open Sans"/>
          <w:color w:val="000000"/>
        </w:rPr>
        <w:t xml:space="preserve"> se registró la variación interanual más acusada de todo el histórico del </w:t>
      </w:r>
      <w:hyperlink r:id="rId10" w:history="1">
        <w:r w:rsidR="009D0F6B" w:rsidRPr="008373B8">
          <w:rPr>
            <w:rStyle w:val="Hipervnculo"/>
            <w:rFonts w:ascii="Open Sans" w:hAnsi="Open Sans" w:cs="Open Sans"/>
          </w:rPr>
          <w:t>Índice Inmobiliario Fotocasa</w:t>
        </w:r>
      </w:hyperlink>
      <w:r w:rsidR="009D0F6B">
        <w:rPr>
          <w:rFonts w:ascii="Open Sans" w:hAnsi="Open Sans" w:cs="Open Sans"/>
          <w:color w:val="000000"/>
        </w:rPr>
        <w:t xml:space="preserve"> con un </w:t>
      </w:r>
      <w:r w:rsidR="006E6E44">
        <w:rPr>
          <w:rFonts w:ascii="Open Sans" w:hAnsi="Open Sans" w:cs="Open Sans"/>
          <w:color w:val="000000"/>
        </w:rPr>
        <w:t>8,4</w:t>
      </w:r>
      <w:r w:rsidR="009D0F6B">
        <w:rPr>
          <w:rFonts w:ascii="Open Sans" w:hAnsi="Open Sans" w:cs="Open Sans"/>
          <w:color w:val="000000"/>
        </w:rPr>
        <w:t>%.</w:t>
      </w:r>
      <w:r w:rsidR="003F53A9">
        <w:rPr>
          <w:rFonts w:ascii="Open Sans" w:hAnsi="Open Sans" w:cs="Open Sans"/>
          <w:color w:val="000000"/>
        </w:rPr>
        <w:t xml:space="preserve"> </w:t>
      </w:r>
    </w:p>
    <w:p w14:paraId="623A51E1" w14:textId="213821A9" w:rsidR="00EA7EB0" w:rsidRPr="00FF53CF" w:rsidRDefault="00EA7EB0" w:rsidP="00EA7EB0">
      <w:pPr>
        <w:pStyle w:val="NormalWeb"/>
        <w:shd w:val="clear" w:color="auto" w:fill="FFFFFF"/>
        <w:spacing w:after="225" w:line="276" w:lineRule="auto"/>
        <w:ind w:right="-574"/>
        <w:jc w:val="both"/>
        <w:rPr>
          <w:rFonts w:ascii="Open Sans" w:hAnsi="Open Sans" w:cs="Open Sans"/>
          <w:color w:val="000000"/>
        </w:rPr>
      </w:pPr>
      <w:r w:rsidRPr="00EA7EB0">
        <w:rPr>
          <w:rFonts w:ascii="Open Sans" w:hAnsi="Open Sans" w:cs="Open Sans"/>
          <w:color w:val="000000"/>
        </w:rPr>
        <w:t>"El precio de oferta de vivienda de segunda mano sigue subiendo con fuerza a nivel interanual, pero los datos mensuales muestran la tendencia hacia la moderación que avanzábamos para 2019 propia de la situación económica y de más de dos años de subidas ininterrumpidas de precios"</w:t>
      </w:r>
      <w:r>
        <w:rPr>
          <w:rFonts w:ascii="Open Sans" w:hAnsi="Open Sans" w:cs="Open Sans"/>
          <w:color w:val="000000"/>
        </w:rPr>
        <w:t xml:space="preserve">, explica Beatriz Toribio, directora de Estudios de </w:t>
      </w:r>
      <w:hyperlink r:id="rId11" w:history="1">
        <w:r w:rsidRPr="00B10769">
          <w:rPr>
            <w:rStyle w:val="Hipervnculo"/>
            <w:rFonts w:ascii="Open Sans" w:hAnsi="Open Sans" w:cs="Open Sans"/>
            <w:b/>
            <w:bCs/>
          </w:rPr>
          <w:t>Fotocasa</w:t>
        </w:r>
      </w:hyperlink>
      <w:r>
        <w:rPr>
          <w:rFonts w:ascii="Open Sans" w:hAnsi="Open Sans" w:cs="Open Sans"/>
          <w:color w:val="000000"/>
        </w:rPr>
        <w:t xml:space="preserve">. </w:t>
      </w:r>
    </w:p>
    <w:p w14:paraId="3A7D9DBF" w14:textId="1BF3FCB2" w:rsidR="00FF53CF" w:rsidRDefault="00FF53CF" w:rsidP="00FF53CF">
      <w:pPr>
        <w:pStyle w:val="NormalWeb"/>
        <w:shd w:val="clear" w:color="auto" w:fill="FFFFFF"/>
        <w:spacing w:after="225" w:line="276" w:lineRule="auto"/>
        <w:ind w:right="-574"/>
        <w:jc w:val="both"/>
        <w:rPr>
          <w:rFonts w:ascii="Open Sans" w:hAnsi="Open Sans" w:cs="Open Sans"/>
          <w:color w:val="000000"/>
        </w:rPr>
      </w:pPr>
      <w:r w:rsidRPr="00FF53CF">
        <w:rPr>
          <w:rFonts w:ascii="Open Sans" w:hAnsi="Open Sans" w:cs="Open Sans"/>
          <w:color w:val="000000"/>
        </w:rPr>
        <w:t xml:space="preserve">El precio medio de la vivienda de segunda mano en </w:t>
      </w:r>
      <w:r w:rsidR="008062B1">
        <w:rPr>
          <w:rFonts w:ascii="Open Sans" w:hAnsi="Open Sans" w:cs="Open Sans"/>
          <w:color w:val="000000"/>
        </w:rPr>
        <w:t>España acumula una caída</w:t>
      </w:r>
      <w:r w:rsidR="0077674C">
        <w:rPr>
          <w:rFonts w:ascii="Open Sans" w:hAnsi="Open Sans" w:cs="Open Sans"/>
          <w:color w:val="000000"/>
        </w:rPr>
        <w:t xml:space="preserve"> total</w:t>
      </w:r>
      <w:r w:rsidR="008062B1">
        <w:rPr>
          <w:rFonts w:ascii="Open Sans" w:hAnsi="Open Sans" w:cs="Open Sans"/>
          <w:color w:val="000000"/>
        </w:rPr>
        <w:t xml:space="preserve"> de -</w:t>
      </w:r>
      <w:r w:rsidR="006E6E44">
        <w:rPr>
          <w:rFonts w:ascii="Open Sans" w:hAnsi="Open Sans" w:cs="Open Sans"/>
          <w:color w:val="000000"/>
        </w:rPr>
        <w:t>35,9</w:t>
      </w:r>
      <w:r w:rsidRPr="00FF53CF">
        <w:rPr>
          <w:rFonts w:ascii="Open Sans" w:hAnsi="Open Sans" w:cs="Open Sans"/>
          <w:color w:val="000000"/>
        </w:rPr>
        <w:t xml:space="preserve">% desde que registrara su máximo histórico en abril de 2007 con 2.952 €/m2. </w:t>
      </w:r>
    </w:p>
    <w:p w14:paraId="00197B1D" w14:textId="562BF9E0" w:rsidR="00FF53CF" w:rsidRPr="00FF53CF" w:rsidRDefault="00FF53CF" w:rsidP="00FF53CF">
      <w:pPr>
        <w:spacing w:line="276" w:lineRule="auto"/>
        <w:ind w:right="-574"/>
        <w:rPr>
          <w:rFonts w:ascii="Open Sans Light" w:hAnsi="Open Sans Light" w:cs="Open Sans Light"/>
          <w:b/>
          <w:iCs/>
          <w:color w:val="303AB2"/>
          <w:sz w:val="28"/>
          <w:szCs w:val="22"/>
          <w:lang w:val="es-ES"/>
        </w:rPr>
      </w:pPr>
      <w:r w:rsidRPr="00D660C5">
        <w:rPr>
          <w:rFonts w:ascii="Open Sans Light" w:hAnsi="Open Sans Light" w:cs="Open Sans Light"/>
          <w:b/>
          <w:iCs/>
          <w:color w:val="303AB2"/>
          <w:sz w:val="28"/>
          <w:szCs w:val="22"/>
          <w:lang w:val="es-ES"/>
        </w:rPr>
        <w:lastRenderedPageBreak/>
        <w:t xml:space="preserve">El precio </w:t>
      </w:r>
      <w:r w:rsidR="008062B1">
        <w:rPr>
          <w:rFonts w:ascii="Open Sans Light" w:hAnsi="Open Sans Light" w:cs="Open Sans Light"/>
          <w:b/>
          <w:iCs/>
          <w:color w:val="303AB2"/>
          <w:sz w:val="28"/>
          <w:szCs w:val="22"/>
          <w:lang w:val="es-ES"/>
        </w:rPr>
        <w:t xml:space="preserve">mensual </w:t>
      </w:r>
      <w:r w:rsidR="006E6E44">
        <w:rPr>
          <w:rFonts w:ascii="Open Sans Light" w:hAnsi="Open Sans Light" w:cs="Open Sans Light"/>
          <w:b/>
          <w:iCs/>
          <w:color w:val="303AB2"/>
          <w:sz w:val="28"/>
          <w:szCs w:val="22"/>
          <w:lang w:val="es-ES"/>
        </w:rPr>
        <w:t>baja en 13 comunidades</w:t>
      </w:r>
    </w:p>
    <w:p w14:paraId="710CDE86" w14:textId="2D313129" w:rsidR="00B8169B" w:rsidRDefault="00FF53CF" w:rsidP="00FF53CF">
      <w:pPr>
        <w:pStyle w:val="NormalWeb"/>
        <w:shd w:val="clear" w:color="auto" w:fill="FFFFFF"/>
        <w:spacing w:after="225" w:line="276" w:lineRule="auto"/>
        <w:ind w:right="-574"/>
        <w:jc w:val="both"/>
        <w:rPr>
          <w:rFonts w:ascii="Open Sans" w:hAnsi="Open Sans" w:cs="Open Sans"/>
          <w:color w:val="000000"/>
        </w:rPr>
      </w:pPr>
      <w:r w:rsidRPr="00FF53CF">
        <w:rPr>
          <w:rFonts w:ascii="Open Sans" w:hAnsi="Open Sans" w:cs="Open Sans"/>
          <w:color w:val="000000"/>
        </w:rPr>
        <w:t xml:space="preserve">De las 17 comunidades autónomas, en </w:t>
      </w:r>
      <w:r w:rsidR="00B8169B">
        <w:rPr>
          <w:rFonts w:ascii="Open Sans" w:hAnsi="Open Sans" w:cs="Open Sans"/>
          <w:color w:val="000000"/>
        </w:rPr>
        <w:t>abril</w:t>
      </w:r>
      <w:r w:rsidRPr="00FF53CF">
        <w:rPr>
          <w:rFonts w:ascii="Open Sans" w:hAnsi="Open Sans" w:cs="Open Sans"/>
          <w:color w:val="000000"/>
        </w:rPr>
        <w:t xml:space="preserve"> el precio medio de la vi</w:t>
      </w:r>
      <w:r w:rsidR="00763677">
        <w:rPr>
          <w:rFonts w:ascii="Open Sans" w:hAnsi="Open Sans" w:cs="Open Sans"/>
          <w:color w:val="000000"/>
        </w:rPr>
        <w:t xml:space="preserve">vienda de segunda mano </w:t>
      </w:r>
      <w:r w:rsidR="00B8169B">
        <w:rPr>
          <w:rFonts w:ascii="Open Sans" w:hAnsi="Open Sans" w:cs="Open Sans"/>
          <w:color w:val="000000"/>
        </w:rPr>
        <w:t>baja en 13</w:t>
      </w:r>
      <w:r w:rsidRPr="00FF53CF">
        <w:rPr>
          <w:rFonts w:ascii="Open Sans" w:hAnsi="Open Sans" w:cs="Open Sans"/>
          <w:color w:val="000000"/>
        </w:rPr>
        <w:t xml:space="preserve"> de ellas. </w:t>
      </w:r>
      <w:r w:rsidR="00B8169B">
        <w:rPr>
          <w:rFonts w:ascii="Open Sans" w:hAnsi="Open Sans" w:cs="Open Sans"/>
          <w:color w:val="000000"/>
        </w:rPr>
        <w:t xml:space="preserve">El descenso mensual más acusado se produce en Galicia y Navarra, en ambos casos bajan un -2,4%, seguido de Castilla y León (-1,7%) y </w:t>
      </w:r>
      <w:proofErr w:type="spellStart"/>
      <w:r w:rsidR="00B8169B">
        <w:rPr>
          <w:rFonts w:ascii="Open Sans" w:hAnsi="Open Sans" w:cs="Open Sans"/>
          <w:color w:val="000000"/>
        </w:rPr>
        <w:t>Murica</w:t>
      </w:r>
      <w:proofErr w:type="spellEnd"/>
      <w:r w:rsidR="00B8169B">
        <w:rPr>
          <w:rFonts w:ascii="Open Sans" w:hAnsi="Open Sans" w:cs="Open Sans"/>
          <w:color w:val="000000"/>
        </w:rPr>
        <w:t xml:space="preserve">, Cataluña y Castilla-La Mancha, que bajan un -1,6%. En el otro extremo, cuatro comunidades incrementan el precio. El incremento más acusado lo protagoniza la Comunidad de Madrid, con una subida del 0,8%, seguido de País Vasco (0,3%), La Rioja (0,2%) y Cantabria (0,1%). En el caso de Baleares, el precio medio de la vivienda de segunda mano se mantiene estable respecto al mes pasado. </w:t>
      </w:r>
    </w:p>
    <w:p w14:paraId="2328929B" w14:textId="77777777" w:rsidR="00156D22" w:rsidRDefault="00FF53CF" w:rsidP="00156D22">
      <w:pPr>
        <w:pStyle w:val="NormalWeb"/>
        <w:shd w:val="clear" w:color="auto" w:fill="FFFFFF"/>
        <w:spacing w:after="225" w:line="276" w:lineRule="auto"/>
        <w:ind w:right="-574"/>
        <w:jc w:val="both"/>
        <w:rPr>
          <w:rFonts w:ascii="Open Sans" w:hAnsi="Open Sans" w:cs="Open Sans"/>
          <w:color w:val="000000"/>
        </w:rPr>
      </w:pPr>
      <w:r w:rsidRPr="00FF53CF">
        <w:rPr>
          <w:rFonts w:ascii="Open Sans" w:hAnsi="Open Sans" w:cs="Open Sans"/>
          <w:color w:val="000000"/>
        </w:rPr>
        <w:t xml:space="preserve">En cuanto a los precios, Madrid se sitúa como la comunidad más cara de España para comprar una vivienda de segunda mano, con un precio medio de </w:t>
      </w:r>
      <w:r w:rsidR="00B8169B">
        <w:rPr>
          <w:rFonts w:ascii="Open Sans" w:hAnsi="Open Sans" w:cs="Open Sans"/>
          <w:color w:val="000000"/>
        </w:rPr>
        <w:t xml:space="preserve">3.000 </w:t>
      </w:r>
      <w:r w:rsidRPr="00FF53CF">
        <w:rPr>
          <w:rFonts w:ascii="Open Sans" w:hAnsi="Open Sans" w:cs="Open Sans"/>
          <w:color w:val="000000"/>
        </w:rPr>
        <w:t>€/m2, seguido de País Vasco (2.</w:t>
      </w:r>
      <w:r w:rsidR="00DA7394">
        <w:rPr>
          <w:rFonts w:ascii="Open Sans" w:hAnsi="Open Sans" w:cs="Open Sans"/>
          <w:color w:val="000000"/>
        </w:rPr>
        <w:t>8</w:t>
      </w:r>
      <w:r w:rsidR="00B8169B">
        <w:rPr>
          <w:rFonts w:ascii="Open Sans" w:hAnsi="Open Sans" w:cs="Open Sans"/>
          <w:color w:val="000000"/>
        </w:rPr>
        <w:t>18</w:t>
      </w:r>
      <w:r w:rsidRPr="00FF53CF">
        <w:rPr>
          <w:rFonts w:ascii="Open Sans" w:hAnsi="Open Sans" w:cs="Open Sans"/>
          <w:color w:val="000000"/>
        </w:rPr>
        <w:t xml:space="preserve"> €/m2)</w:t>
      </w:r>
      <w:r w:rsidR="0077674C">
        <w:rPr>
          <w:rFonts w:ascii="Open Sans" w:hAnsi="Open Sans" w:cs="Open Sans"/>
          <w:color w:val="000000"/>
        </w:rPr>
        <w:t>, Baleares (2.</w:t>
      </w:r>
      <w:r w:rsidR="00B8169B">
        <w:rPr>
          <w:rFonts w:ascii="Open Sans" w:hAnsi="Open Sans" w:cs="Open Sans"/>
          <w:color w:val="000000"/>
        </w:rPr>
        <w:t>618</w:t>
      </w:r>
      <w:r w:rsidR="0077674C">
        <w:rPr>
          <w:rFonts w:ascii="Open Sans" w:hAnsi="Open Sans" w:cs="Open Sans"/>
          <w:color w:val="000000"/>
        </w:rPr>
        <w:t xml:space="preserve"> </w:t>
      </w:r>
      <w:r w:rsidR="0077674C" w:rsidRPr="00FF53CF">
        <w:rPr>
          <w:rFonts w:ascii="Open Sans" w:hAnsi="Open Sans" w:cs="Open Sans"/>
          <w:color w:val="000000"/>
        </w:rPr>
        <w:t>€/m2</w:t>
      </w:r>
      <w:r w:rsidR="0077674C">
        <w:rPr>
          <w:rFonts w:ascii="Open Sans" w:hAnsi="Open Sans" w:cs="Open Sans"/>
          <w:color w:val="000000"/>
        </w:rPr>
        <w:t>) y Cataluña (2.5</w:t>
      </w:r>
      <w:r w:rsidR="00B8169B">
        <w:rPr>
          <w:rFonts w:ascii="Open Sans" w:hAnsi="Open Sans" w:cs="Open Sans"/>
          <w:color w:val="000000"/>
        </w:rPr>
        <w:t>13</w:t>
      </w:r>
      <w:r w:rsidR="0077674C">
        <w:rPr>
          <w:rFonts w:ascii="Open Sans" w:hAnsi="Open Sans" w:cs="Open Sans"/>
          <w:color w:val="000000"/>
        </w:rPr>
        <w:t xml:space="preserve"> </w:t>
      </w:r>
      <w:r w:rsidR="0077674C" w:rsidRPr="00FF53CF">
        <w:rPr>
          <w:rFonts w:ascii="Open Sans" w:hAnsi="Open Sans" w:cs="Open Sans"/>
          <w:color w:val="000000"/>
        </w:rPr>
        <w:t>€/m2</w:t>
      </w:r>
      <w:r w:rsidR="0077674C">
        <w:rPr>
          <w:rFonts w:ascii="Open Sans" w:hAnsi="Open Sans" w:cs="Open Sans"/>
          <w:color w:val="000000"/>
        </w:rPr>
        <w:t xml:space="preserve">). </w:t>
      </w:r>
      <w:r w:rsidRPr="00FF53CF">
        <w:rPr>
          <w:rFonts w:ascii="Open Sans" w:hAnsi="Open Sans" w:cs="Open Sans"/>
          <w:color w:val="000000"/>
        </w:rPr>
        <w:t>Por el contrario, Extremadura (1.</w:t>
      </w:r>
      <w:r w:rsidR="00B8169B">
        <w:rPr>
          <w:rFonts w:ascii="Open Sans" w:hAnsi="Open Sans" w:cs="Open Sans"/>
          <w:color w:val="000000"/>
        </w:rPr>
        <w:t>098</w:t>
      </w:r>
      <w:r w:rsidRPr="00FF53CF">
        <w:rPr>
          <w:rFonts w:ascii="Open Sans" w:hAnsi="Open Sans" w:cs="Open Sans"/>
          <w:color w:val="000000"/>
        </w:rPr>
        <w:t xml:space="preserve"> €/m2), Castilla-La Mancha (1.1</w:t>
      </w:r>
      <w:r w:rsidR="00DA7394">
        <w:rPr>
          <w:rFonts w:ascii="Open Sans" w:hAnsi="Open Sans" w:cs="Open Sans"/>
          <w:color w:val="000000"/>
        </w:rPr>
        <w:t>2</w:t>
      </w:r>
      <w:r w:rsidR="00B8169B">
        <w:rPr>
          <w:rFonts w:ascii="Open Sans" w:hAnsi="Open Sans" w:cs="Open Sans"/>
          <w:color w:val="000000"/>
        </w:rPr>
        <w:t>4</w:t>
      </w:r>
      <w:r w:rsidRPr="00FF53CF">
        <w:rPr>
          <w:rFonts w:ascii="Open Sans" w:hAnsi="Open Sans" w:cs="Open Sans"/>
          <w:color w:val="000000"/>
        </w:rPr>
        <w:t xml:space="preserve"> €/m2) y Murcia (1.1</w:t>
      </w:r>
      <w:r w:rsidR="00B8169B">
        <w:rPr>
          <w:rFonts w:ascii="Open Sans" w:hAnsi="Open Sans" w:cs="Open Sans"/>
          <w:color w:val="000000"/>
        </w:rPr>
        <w:t>45</w:t>
      </w:r>
      <w:r w:rsidRPr="00FF53CF">
        <w:rPr>
          <w:rFonts w:ascii="Open Sans" w:hAnsi="Open Sans" w:cs="Open Sans"/>
          <w:color w:val="000000"/>
        </w:rPr>
        <w:t xml:space="preserve"> €/m2) son las comunidades con los precios de la vivienda de segunda mano más asequibles. </w:t>
      </w:r>
    </w:p>
    <w:p w14:paraId="592DF233" w14:textId="448E5390" w:rsidR="00FF53CF" w:rsidRPr="00FF53CF" w:rsidRDefault="00156D22" w:rsidP="00156D22">
      <w:pPr>
        <w:pStyle w:val="NormalWeb"/>
        <w:shd w:val="clear" w:color="auto" w:fill="FFFFFF"/>
        <w:spacing w:after="225" w:line="276" w:lineRule="auto"/>
        <w:ind w:right="-574"/>
        <w:jc w:val="both"/>
        <w:rPr>
          <w:rFonts w:ascii="Open Sans Light" w:hAnsi="Open Sans Light" w:cs="Open Sans Light"/>
          <w:b/>
          <w:iCs/>
          <w:color w:val="303AB2"/>
          <w:sz w:val="28"/>
          <w:szCs w:val="22"/>
        </w:rPr>
      </w:pPr>
      <w:r>
        <w:rPr>
          <w:rFonts w:ascii="Open Sans" w:hAnsi="Open Sans" w:cs="Open Sans"/>
          <w:color w:val="000000"/>
        </w:rPr>
        <w:br/>
      </w:r>
      <w:r>
        <w:rPr>
          <w:rFonts w:ascii="Open Sans Light" w:hAnsi="Open Sans Light" w:cs="Open Sans Light"/>
          <w:b/>
          <w:iCs/>
          <w:color w:val="303AB2"/>
          <w:sz w:val="28"/>
          <w:szCs w:val="22"/>
        </w:rPr>
        <w:t xml:space="preserve">              </w:t>
      </w:r>
      <w:r w:rsidR="00FF53CF" w:rsidRPr="00FF53CF">
        <w:rPr>
          <w:rFonts w:ascii="Open Sans Light" w:hAnsi="Open Sans Light" w:cs="Open Sans Light"/>
          <w:b/>
          <w:iCs/>
          <w:color w:val="303AB2"/>
          <w:sz w:val="28"/>
          <w:szCs w:val="22"/>
        </w:rPr>
        <w:t xml:space="preserve">Precio medio de la vivienda por </w:t>
      </w:r>
      <w:proofErr w:type="gramStart"/>
      <w:r w:rsidR="00FF53CF" w:rsidRPr="00FF53CF">
        <w:rPr>
          <w:rFonts w:ascii="Open Sans Light" w:hAnsi="Open Sans Light" w:cs="Open Sans Light"/>
          <w:b/>
          <w:iCs/>
          <w:color w:val="303AB2"/>
          <w:sz w:val="28"/>
          <w:szCs w:val="22"/>
        </w:rPr>
        <w:t>CC.AA</w:t>
      </w:r>
      <w:proofErr w:type="gramEnd"/>
      <w:r w:rsidR="00FF53CF" w:rsidRPr="00FF53CF">
        <w:rPr>
          <w:rFonts w:ascii="Open Sans Light" w:hAnsi="Open Sans Light" w:cs="Open Sans Light"/>
          <w:b/>
          <w:iCs/>
          <w:color w:val="303AB2"/>
          <w:sz w:val="28"/>
          <w:szCs w:val="22"/>
        </w:rPr>
        <w:t xml:space="preserve"> y variaciones</w:t>
      </w:r>
    </w:p>
    <w:tbl>
      <w:tblPr>
        <w:tblStyle w:val="Tablaconcuadrcula5oscura-nfasis1"/>
        <w:tblW w:w="9072" w:type="dxa"/>
        <w:tblInd w:w="-5" w:type="dxa"/>
        <w:tblLayout w:type="fixed"/>
        <w:tblLook w:val="04A0" w:firstRow="1" w:lastRow="0" w:firstColumn="1" w:lastColumn="0" w:noHBand="0" w:noVBand="1"/>
      </w:tblPr>
      <w:tblGrid>
        <w:gridCol w:w="2552"/>
        <w:gridCol w:w="1701"/>
        <w:gridCol w:w="1701"/>
        <w:gridCol w:w="1559"/>
        <w:gridCol w:w="1559"/>
      </w:tblGrid>
      <w:tr w:rsidR="00FF53CF" w14:paraId="6624767B" w14:textId="77777777" w:rsidTr="00914F28">
        <w:trPr>
          <w:cnfStyle w:val="100000000000" w:firstRow="1" w:lastRow="0" w:firstColumn="0" w:lastColumn="0" w:oddVBand="0" w:evenVBand="0" w:oddHBand="0" w:evenHBand="0" w:firstRowFirstColumn="0" w:firstRowLastColumn="0" w:lastRowFirstColumn="0" w:lastRowLastColumn="0"/>
          <w:trHeight w:val="717"/>
        </w:trPr>
        <w:tc>
          <w:tcPr>
            <w:cnfStyle w:val="001000000000" w:firstRow="0" w:lastRow="0" w:firstColumn="1" w:lastColumn="0" w:oddVBand="0" w:evenVBand="0" w:oddHBand="0" w:evenHBand="0" w:firstRowFirstColumn="0" w:firstRowLastColumn="0" w:lastRowFirstColumn="0" w:lastRowLastColumn="0"/>
            <w:tcW w:w="2552" w:type="dxa"/>
          </w:tcPr>
          <w:p w14:paraId="7A68368B" w14:textId="77777777" w:rsidR="00FF53CF" w:rsidRPr="005A301B" w:rsidRDefault="00FF53CF" w:rsidP="001C420A">
            <w:pPr>
              <w:jc w:val="center"/>
            </w:pPr>
            <w:r w:rsidRPr="005A301B">
              <w:t>CC.AA.</w:t>
            </w:r>
          </w:p>
        </w:tc>
        <w:tc>
          <w:tcPr>
            <w:tcW w:w="1701" w:type="dxa"/>
          </w:tcPr>
          <w:p w14:paraId="0B01625E" w14:textId="785799E2" w:rsidR="004F52D0" w:rsidRDefault="00126BA2" w:rsidP="001C420A">
            <w:pPr>
              <w:jc w:val="center"/>
              <w:cnfStyle w:val="100000000000" w:firstRow="1" w:lastRow="0" w:firstColumn="0" w:lastColumn="0" w:oddVBand="0" w:evenVBand="0" w:oddHBand="0" w:evenHBand="0" w:firstRowFirstColumn="0" w:firstRowLastColumn="0" w:lastRowFirstColumn="0" w:lastRowLastColumn="0"/>
              <w:rPr>
                <w:b w:val="0"/>
                <w:bCs w:val="0"/>
              </w:rPr>
            </w:pPr>
            <w:r>
              <w:t>Abril</w:t>
            </w:r>
            <w:r w:rsidR="00FF53CF">
              <w:t xml:space="preserve"> </w:t>
            </w:r>
          </w:p>
          <w:p w14:paraId="4F276AF7" w14:textId="77777777" w:rsidR="00FF53CF" w:rsidRPr="005A301B" w:rsidRDefault="00FF53CF" w:rsidP="001C420A">
            <w:pPr>
              <w:jc w:val="center"/>
              <w:cnfStyle w:val="100000000000" w:firstRow="1" w:lastRow="0" w:firstColumn="0" w:lastColumn="0" w:oddVBand="0" w:evenVBand="0" w:oddHBand="0" w:evenHBand="0" w:firstRowFirstColumn="0" w:firstRowLastColumn="0" w:lastRowFirstColumn="0" w:lastRowLastColumn="0"/>
            </w:pPr>
            <w:r>
              <w:t>201</w:t>
            </w:r>
            <w:r w:rsidR="004F52D0">
              <w:t>9</w:t>
            </w:r>
          </w:p>
        </w:tc>
        <w:tc>
          <w:tcPr>
            <w:tcW w:w="1701" w:type="dxa"/>
          </w:tcPr>
          <w:p w14:paraId="363F7620" w14:textId="77777777" w:rsidR="00FF53CF" w:rsidRPr="005A301B" w:rsidRDefault="00FF53CF" w:rsidP="001C420A">
            <w:pPr>
              <w:jc w:val="center"/>
              <w:cnfStyle w:val="100000000000" w:firstRow="1" w:lastRow="0" w:firstColumn="0" w:lastColumn="0" w:oddVBand="0" w:evenVBand="0" w:oddHBand="0" w:evenHBand="0" w:firstRowFirstColumn="0" w:firstRowLastColumn="0" w:lastRowFirstColumn="0" w:lastRowLastColumn="0"/>
            </w:pPr>
            <w:r w:rsidRPr="005A301B">
              <w:t>Variación mensual</w:t>
            </w:r>
          </w:p>
        </w:tc>
        <w:tc>
          <w:tcPr>
            <w:tcW w:w="1559" w:type="dxa"/>
          </w:tcPr>
          <w:p w14:paraId="3BA36EC9" w14:textId="77777777" w:rsidR="00FF53CF" w:rsidRPr="005A301B" w:rsidRDefault="00FF53CF" w:rsidP="001C420A">
            <w:pPr>
              <w:jc w:val="center"/>
              <w:cnfStyle w:val="100000000000" w:firstRow="1" w:lastRow="0" w:firstColumn="0" w:lastColumn="0" w:oddVBand="0" w:evenVBand="0" w:oddHBand="0" w:evenHBand="0" w:firstRowFirstColumn="0" w:firstRowLastColumn="0" w:lastRowFirstColumn="0" w:lastRowLastColumn="0"/>
            </w:pPr>
            <w:r>
              <w:t>Variación interanual</w:t>
            </w:r>
          </w:p>
        </w:tc>
        <w:tc>
          <w:tcPr>
            <w:tcW w:w="1559" w:type="dxa"/>
          </w:tcPr>
          <w:p w14:paraId="07DDE19A" w14:textId="77777777" w:rsidR="00FF53CF" w:rsidRPr="005A301B" w:rsidRDefault="00FF53CF" w:rsidP="001C420A">
            <w:pPr>
              <w:jc w:val="center"/>
              <w:cnfStyle w:val="100000000000" w:firstRow="1" w:lastRow="0" w:firstColumn="0" w:lastColumn="0" w:oddVBand="0" w:evenVBand="0" w:oddHBand="0" w:evenHBand="0" w:firstRowFirstColumn="0" w:firstRowLastColumn="0" w:lastRowFirstColumn="0" w:lastRowLastColumn="0"/>
            </w:pPr>
            <w:r>
              <w:t>Descenso acumulado</w:t>
            </w:r>
          </w:p>
        </w:tc>
      </w:tr>
      <w:tr w:rsidR="00F1765A" w:rsidRPr="00544375" w14:paraId="40041A10" w14:textId="77777777" w:rsidTr="00914F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1FE24CF7" w14:textId="68573B69" w:rsidR="00F1765A" w:rsidRPr="00596B6E" w:rsidRDefault="00F1765A" w:rsidP="00F1765A">
            <w:pPr>
              <w:jc w:val="right"/>
              <w:rPr>
                <w:rFonts w:ascii="Calibri" w:hAnsi="Calibri"/>
              </w:rPr>
            </w:pPr>
            <w:r w:rsidRPr="00F1765A">
              <w:rPr>
                <w:rFonts w:ascii="Calibri" w:hAnsi="Calibri"/>
              </w:rPr>
              <w:t>Madrid</w:t>
            </w:r>
          </w:p>
        </w:tc>
        <w:tc>
          <w:tcPr>
            <w:tcW w:w="1701" w:type="dxa"/>
            <w:vAlign w:val="bottom"/>
          </w:tcPr>
          <w:p w14:paraId="47AF5202" w14:textId="4F502D1D" w:rsidR="00F1765A" w:rsidRPr="00596B6E" w:rsidRDefault="00F1765A" w:rsidP="00F1765A">
            <w:pPr>
              <w:jc w:val="center"/>
              <w:cnfStyle w:val="000000100000" w:firstRow="0" w:lastRow="0" w:firstColumn="0" w:lastColumn="0" w:oddVBand="0" w:evenVBand="0" w:oddHBand="1" w:evenHBand="0" w:firstRowFirstColumn="0" w:firstRowLastColumn="0" w:lastRowFirstColumn="0" w:lastRowLastColumn="0"/>
              <w:rPr>
                <w:color w:val="000000"/>
              </w:rPr>
            </w:pPr>
            <w:r>
              <w:rPr>
                <w:rFonts w:ascii="Calibri" w:hAnsi="Calibri" w:cs="Calibri"/>
                <w:color w:val="000000"/>
                <w:sz w:val="22"/>
                <w:szCs w:val="22"/>
              </w:rPr>
              <w:t>3.000 €</w:t>
            </w:r>
          </w:p>
        </w:tc>
        <w:tc>
          <w:tcPr>
            <w:tcW w:w="1701" w:type="dxa"/>
            <w:vAlign w:val="bottom"/>
          </w:tcPr>
          <w:p w14:paraId="2BE9EBFF" w14:textId="4680DB0C" w:rsidR="00F1765A" w:rsidRPr="00596B6E" w:rsidRDefault="00F1765A" w:rsidP="00F1765A">
            <w:pPr>
              <w:jc w:val="center"/>
              <w:cnfStyle w:val="000000100000" w:firstRow="0" w:lastRow="0" w:firstColumn="0" w:lastColumn="0" w:oddVBand="0" w:evenVBand="0" w:oddHBand="1" w:evenHBand="0" w:firstRowFirstColumn="0" w:firstRowLastColumn="0" w:lastRowFirstColumn="0" w:lastRowLastColumn="0"/>
              <w:rPr>
                <w:color w:val="000000"/>
              </w:rPr>
            </w:pPr>
            <w:r>
              <w:rPr>
                <w:rFonts w:ascii="Calibri" w:hAnsi="Calibri" w:cs="Calibri"/>
                <w:color w:val="000000"/>
                <w:sz w:val="22"/>
                <w:szCs w:val="22"/>
              </w:rPr>
              <w:t>0,8 %</w:t>
            </w:r>
          </w:p>
        </w:tc>
        <w:tc>
          <w:tcPr>
            <w:tcW w:w="1559" w:type="dxa"/>
            <w:vAlign w:val="bottom"/>
          </w:tcPr>
          <w:p w14:paraId="480F643D" w14:textId="4F559049" w:rsidR="00F1765A" w:rsidRPr="00596B6E" w:rsidRDefault="00F1765A" w:rsidP="00F1765A">
            <w:pPr>
              <w:jc w:val="center"/>
              <w:cnfStyle w:val="000000100000" w:firstRow="0" w:lastRow="0" w:firstColumn="0" w:lastColumn="0" w:oddVBand="0" w:evenVBand="0" w:oddHBand="1" w:evenHBand="0" w:firstRowFirstColumn="0" w:firstRowLastColumn="0" w:lastRowFirstColumn="0" w:lastRowLastColumn="0"/>
              <w:rPr>
                <w:color w:val="000000"/>
              </w:rPr>
            </w:pPr>
            <w:r>
              <w:rPr>
                <w:rFonts w:ascii="Calibri" w:hAnsi="Calibri" w:cs="Calibri"/>
                <w:color w:val="000000"/>
                <w:sz w:val="22"/>
                <w:szCs w:val="22"/>
              </w:rPr>
              <w:t>18,0 %</w:t>
            </w:r>
          </w:p>
        </w:tc>
        <w:tc>
          <w:tcPr>
            <w:tcW w:w="1559" w:type="dxa"/>
            <w:vAlign w:val="bottom"/>
          </w:tcPr>
          <w:p w14:paraId="11854065" w14:textId="4B3949E5" w:rsidR="00F1765A" w:rsidRPr="00596B6E" w:rsidRDefault="00F1765A" w:rsidP="00F1765A">
            <w:pPr>
              <w:jc w:val="center"/>
              <w:cnfStyle w:val="000000100000" w:firstRow="0" w:lastRow="0" w:firstColumn="0" w:lastColumn="0" w:oddVBand="0" w:evenVBand="0" w:oddHBand="1" w:evenHBand="0" w:firstRowFirstColumn="0" w:firstRowLastColumn="0" w:lastRowFirstColumn="0" w:lastRowLastColumn="0"/>
              <w:rPr>
                <w:color w:val="FF0000"/>
              </w:rPr>
            </w:pPr>
            <w:r>
              <w:rPr>
                <w:rFonts w:ascii="Calibri" w:hAnsi="Calibri" w:cs="Calibri"/>
                <w:color w:val="C00000"/>
                <w:sz w:val="22"/>
                <w:szCs w:val="22"/>
              </w:rPr>
              <w:t>-24,4%</w:t>
            </w:r>
          </w:p>
        </w:tc>
      </w:tr>
      <w:tr w:rsidR="00F1765A" w:rsidRPr="00544375" w14:paraId="0A167AAF" w14:textId="77777777" w:rsidTr="00914F28">
        <w:tc>
          <w:tcPr>
            <w:cnfStyle w:val="001000000000" w:firstRow="0" w:lastRow="0" w:firstColumn="1" w:lastColumn="0" w:oddVBand="0" w:evenVBand="0" w:oddHBand="0" w:evenHBand="0" w:firstRowFirstColumn="0" w:firstRowLastColumn="0" w:lastRowFirstColumn="0" w:lastRowLastColumn="0"/>
            <w:tcW w:w="2552" w:type="dxa"/>
            <w:vAlign w:val="bottom"/>
          </w:tcPr>
          <w:p w14:paraId="7868BA91" w14:textId="1081A6E1" w:rsidR="00F1765A" w:rsidRPr="00596B6E" w:rsidRDefault="00F1765A" w:rsidP="00F1765A">
            <w:pPr>
              <w:jc w:val="right"/>
              <w:rPr>
                <w:rFonts w:ascii="Calibri" w:hAnsi="Calibri"/>
              </w:rPr>
            </w:pPr>
            <w:r w:rsidRPr="00F1765A">
              <w:rPr>
                <w:rFonts w:ascii="Calibri" w:hAnsi="Calibri"/>
              </w:rPr>
              <w:t>País Vasco</w:t>
            </w:r>
          </w:p>
        </w:tc>
        <w:tc>
          <w:tcPr>
            <w:tcW w:w="1701" w:type="dxa"/>
            <w:vAlign w:val="bottom"/>
          </w:tcPr>
          <w:p w14:paraId="64CA35F3" w14:textId="070F9DC4" w:rsidR="00F1765A" w:rsidRPr="00596B6E" w:rsidRDefault="00F1765A" w:rsidP="00F1765A">
            <w:pPr>
              <w:jc w:val="center"/>
              <w:cnfStyle w:val="000000000000" w:firstRow="0" w:lastRow="0" w:firstColumn="0" w:lastColumn="0" w:oddVBand="0" w:evenVBand="0" w:oddHBand="0" w:evenHBand="0" w:firstRowFirstColumn="0" w:firstRowLastColumn="0" w:lastRowFirstColumn="0" w:lastRowLastColumn="0"/>
              <w:rPr>
                <w:color w:val="000000"/>
              </w:rPr>
            </w:pPr>
            <w:r>
              <w:rPr>
                <w:rFonts w:ascii="Calibri" w:hAnsi="Calibri" w:cs="Calibri"/>
                <w:color w:val="000000"/>
                <w:sz w:val="22"/>
                <w:szCs w:val="22"/>
              </w:rPr>
              <w:t>2.818 €</w:t>
            </w:r>
          </w:p>
        </w:tc>
        <w:tc>
          <w:tcPr>
            <w:tcW w:w="1701" w:type="dxa"/>
            <w:vAlign w:val="bottom"/>
          </w:tcPr>
          <w:p w14:paraId="3C848D0F" w14:textId="7FD420F4" w:rsidR="00F1765A" w:rsidRPr="00596B6E" w:rsidRDefault="00F1765A" w:rsidP="00F1765A">
            <w:pPr>
              <w:jc w:val="center"/>
              <w:cnfStyle w:val="000000000000" w:firstRow="0" w:lastRow="0" w:firstColumn="0" w:lastColumn="0" w:oddVBand="0" w:evenVBand="0" w:oddHBand="0" w:evenHBand="0" w:firstRowFirstColumn="0" w:firstRowLastColumn="0" w:lastRowFirstColumn="0" w:lastRowLastColumn="0"/>
              <w:rPr>
                <w:color w:val="000000"/>
              </w:rPr>
            </w:pPr>
            <w:r>
              <w:rPr>
                <w:rFonts w:ascii="Calibri" w:hAnsi="Calibri" w:cs="Calibri"/>
                <w:color w:val="000000"/>
                <w:sz w:val="22"/>
                <w:szCs w:val="22"/>
              </w:rPr>
              <w:t>0,3 %</w:t>
            </w:r>
          </w:p>
        </w:tc>
        <w:tc>
          <w:tcPr>
            <w:tcW w:w="1559" w:type="dxa"/>
            <w:vAlign w:val="bottom"/>
          </w:tcPr>
          <w:p w14:paraId="442453DD" w14:textId="60898979" w:rsidR="00F1765A" w:rsidRPr="00596B6E" w:rsidRDefault="00F1765A" w:rsidP="00F1765A">
            <w:pPr>
              <w:jc w:val="center"/>
              <w:cnfStyle w:val="000000000000" w:firstRow="0" w:lastRow="0" w:firstColumn="0" w:lastColumn="0" w:oddVBand="0" w:evenVBand="0" w:oddHBand="0" w:evenHBand="0" w:firstRowFirstColumn="0" w:firstRowLastColumn="0" w:lastRowFirstColumn="0" w:lastRowLastColumn="0"/>
              <w:rPr>
                <w:color w:val="000000"/>
              </w:rPr>
            </w:pPr>
            <w:r>
              <w:rPr>
                <w:rFonts w:ascii="Calibri" w:hAnsi="Calibri" w:cs="Calibri"/>
                <w:color w:val="000000"/>
                <w:sz w:val="22"/>
                <w:szCs w:val="22"/>
              </w:rPr>
              <w:t>2,9 %</w:t>
            </w:r>
          </w:p>
        </w:tc>
        <w:tc>
          <w:tcPr>
            <w:tcW w:w="1559" w:type="dxa"/>
            <w:vAlign w:val="bottom"/>
          </w:tcPr>
          <w:p w14:paraId="40B20FD7" w14:textId="4E15CD35" w:rsidR="00F1765A" w:rsidRPr="00596B6E" w:rsidRDefault="00F1765A" w:rsidP="00F1765A">
            <w:pPr>
              <w:jc w:val="center"/>
              <w:cnfStyle w:val="000000000000" w:firstRow="0" w:lastRow="0" w:firstColumn="0" w:lastColumn="0" w:oddVBand="0" w:evenVBand="0" w:oddHBand="0" w:evenHBand="0" w:firstRowFirstColumn="0" w:firstRowLastColumn="0" w:lastRowFirstColumn="0" w:lastRowLastColumn="0"/>
              <w:rPr>
                <w:color w:val="FF0000"/>
              </w:rPr>
            </w:pPr>
            <w:r>
              <w:rPr>
                <w:rFonts w:ascii="Calibri" w:hAnsi="Calibri" w:cs="Calibri"/>
                <w:color w:val="C00000"/>
                <w:sz w:val="22"/>
                <w:szCs w:val="22"/>
              </w:rPr>
              <w:t>-35,8%</w:t>
            </w:r>
          </w:p>
        </w:tc>
      </w:tr>
      <w:tr w:rsidR="00F1765A" w:rsidRPr="00544375" w14:paraId="7FA9CEB7" w14:textId="77777777" w:rsidTr="00914F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1B6D3B4E" w14:textId="6580CC69" w:rsidR="00F1765A" w:rsidRPr="00596B6E" w:rsidRDefault="00F1765A" w:rsidP="00F1765A">
            <w:pPr>
              <w:jc w:val="right"/>
              <w:rPr>
                <w:rFonts w:ascii="Calibri" w:hAnsi="Calibri"/>
              </w:rPr>
            </w:pPr>
            <w:r w:rsidRPr="00F1765A">
              <w:rPr>
                <w:rFonts w:ascii="Calibri" w:hAnsi="Calibri"/>
              </w:rPr>
              <w:t>Baleares</w:t>
            </w:r>
          </w:p>
        </w:tc>
        <w:tc>
          <w:tcPr>
            <w:tcW w:w="1701" w:type="dxa"/>
            <w:vAlign w:val="bottom"/>
          </w:tcPr>
          <w:p w14:paraId="4888EDDC" w14:textId="70013474" w:rsidR="00F1765A" w:rsidRPr="00596B6E" w:rsidRDefault="00F1765A" w:rsidP="00F1765A">
            <w:pPr>
              <w:jc w:val="center"/>
              <w:cnfStyle w:val="000000100000" w:firstRow="0" w:lastRow="0" w:firstColumn="0" w:lastColumn="0" w:oddVBand="0" w:evenVBand="0" w:oddHBand="1" w:evenHBand="0" w:firstRowFirstColumn="0" w:firstRowLastColumn="0" w:lastRowFirstColumn="0" w:lastRowLastColumn="0"/>
              <w:rPr>
                <w:color w:val="000000"/>
              </w:rPr>
            </w:pPr>
            <w:r>
              <w:rPr>
                <w:rFonts w:ascii="Calibri" w:hAnsi="Calibri" w:cs="Calibri"/>
                <w:color w:val="000000"/>
                <w:sz w:val="22"/>
                <w:szCs w:val="22"/>
              </w:rPr>
              <w:t>2.618 €</w:t>
            </w:r>
          </w:p>
        </w:tc>
        <w:tc>
          <w:tcPr>
            <w:tcW w:w="1701" w:type="dxa"/>
            <w:vAlign w:val="bottom"/>
          </w:tcPr>
          <w:p w14:paraId="4819F88C" w14:textId="2DED008C" w:rsidR="00F1765A" w:rsidRPr="00596B6E" w:rsidRDefault="00F1765A" w:rsidP="00F1765A">
            <w:pPr>
              <w:jc w:val="center"/>
              <w:cnfStyle w:val="000000100000" w:firstRow="0" w:lastRow="0" w:firstColumn="0" w:lastColumn="0" w:oddVBand="0" w:evenVBand="0" w:oddHBand="1" w:evenHBand="0" w:firstRowFirstColumn="0" w:firstRowLastColumn="0" w:lastRowFirstColumn="0" w:lastRowLastColumn="0"/>
              <w:rPr>
                <w:color w:val="000000"/>
              </w:rPr>
            </w:pPr>
            <w:r>
              <w:rPr>
                <w:rFonts w:ascii="Calibri" w:hAnsi="Calibri" w:cs="Calibri"/>
                <w:color w:val="000000"/>
                <w:sz w:val="22"/>
                <w:szCs w:val="22"/>
              </w:rPr>
              <w:t>0,0 %</w:t>
            </w:r>
          </w:p>
        </w:tc>
        <w:tc>
          <w:tcPr>
            <w:tcW w:w="1559" w:type="dxa"/>
            <w:vAlign w:val="bottom"/>
          </w:tcPr>
          <w:p w14:paraId="2760F4B8" w14:textId="1BB36514" w:rsidR="00F1765A" w:rsidRPr="00596B6E" w:rsidRDefault="00F1765A" w:rsidP="00F1765A">
            <w:pPr>
              <w:jc w:val="center"/>
              <w:cnfStyle w:val="000000100000" w:firstRow="0" w:lastRow="0" w:firstColumn="0" w:lastColumn="0" w:oddVBand="0" w:evenVBand="0" w:oddHBand="1" w:evenHBand="0" w:firstRowFirstColumn="0" w:firstRowLastColumn="0" w:lastRowFirstColumn="0" w:lastRowLastColumn="0"/>
              <w:rPr>
                <w:color w:val="000000"/>
              </w:rPr>
            </w:pPr>
            <w:r>
              <w:rPr>
                <w:rFonts w:ascii="Calibri" w:hAnsi="Calibri" w:cs="Calibri"/>
                <w:color w:val="000000"/>
                <w:sz w:val="22"/>
                <w:szCs w:val="22"/>
              </w:rPr>
              <w:t>10,6 %</w:t>
            </w:r>
          </w:p>
        </w:tc>
        <w:tc>
          <w:tcPr>
            <w:tcW w:w="1559" w:type="dxa"/>
            <w:vAlign w:val="bottom"/>
          </w:tcPr>
          <w:p w14:paraId="4D98F2DC" w14:textId="6173A72F" w:rsidR="00F1765A" w:rsidRPr="00596B6E" w:rsidRDefault="00F1765A" w:rsidP="00F1765A">
            <w:pPr>
              <w:jc w:val="center"/>
              <w:cnfStyle w:val="000000100000" w:firstRow="0" w:lastRow="0" w:firstColumn="0" w:lastColumn="0" w:oddVBand="0" w:evenVBand="0" w:oddHBand="1" w:evenHBand="0" w:firstRowFirstColumn="0" w:firstRowLastColumn="0" w:lastRowFirstColumn="0" w:lastRowLastColumn="0"/>
              <w:rPr>
                <w:color w:val="FF0000"/>
              </w:rPr>
            </w:pPr>
            <w:r>
              <w:rPr>
                <w:rFonts w:ascii="Calibri" w:hAnsi="Calibri" w:cs="Calibri"/>
                <w:color w:val="C00000"/>
                <w:sz w:val="22"/>
                <w:szCs w:val="22"/>
              </w:rPr>
              <w:t>-5,2%</w:t>
            </w:r>
          </w:p>
        </w:tc>
      </w:tr>
      <w:tr w:rsidR="00F1765A" w:rsidRPr="00544375" w14:paraId="26668CBD" w14:textId="77777777" w:rsidTr="00914F28">
        <w:tc>
          <w:tcPr>
            <w:cnfStyle w:val="001000000000" w:firstRow="0" w:lastRow="0" w:firstColumn="1" w:lastColumn="0" w:oddVBand="0" w:evenVBand="0" w:oddHBand="0" w:evenHBand="0" w:firstRowFirstColumn="0" w:firstRowLastColumn="0" w:lastRowFirstColumn="0" w:lastRowLastColumn="0"/>
            <w:tcW w:w="2552" w:type="dxa"/>
            <w:vAlign w:val="bottom"/>
          </w:tcPr>
          <w:p w14:paraId="306C38CB" w14:textId="31ED0582" w:rsidR="00F1765A" w:rsidRPr="00596B6E" w:rsidRDefault="00F1765A" w:rsidP="00F1765A">
            <w:pPr>
              <w:jc w:val="right"/>
              <w:rPr>
                <w:rFonts w:ascii="Calibri" w:hAnsi="Calibri"/>
              </w:rPr>
            </w:pPr>
            <w:r w:rsidRPr="00F1765A">
              <w:rPr>
                <w:rFonts w:ascii="Calibri" w:hAnsi="Calibri"/>
              </w:rPr>
              <w:t>Cataluña</w:t>
            </w:r>
          </w:p>
        </w:tc>
        <w:tc>
          <w:tcPr>
            <w:tcW w:w="1701" w:type="dxa"/>
            <w:vAlign w:val="bottom"/>
          </w:tcPr>
          <w:p w14:paraId="42CB9664" w14:textId="175EB738" w:rsidR="00F1765A" w:rsidRPr="00596B6E" w:rsidRDefault="00F1765A" w:rsidP="00F1765A">
            <w:pPr>
              <w:jc w:val="center"/>
              <w:cnfStyle w:val="000000000000" w:firstRow="0" w:lastRow="0" w:firstColumn="0" w:lastColumn="0" w:oddVBand="0" w:evenVBand="0" w:oddHBand="0" w:evenHBand="0" w:firstRowFirstColumn="0" w:firstRowLastColumn="0" w:lastRowFirstColumn="0" w:lastRowLastColumn="0"/>
              <w:rPr>
                <w:color w:val="000000"/>
              </w:rPr>
            </w:pPr>
            <w:r>
              <w:rPr>
                <w:rFonts w:ascii="Calibri" w:hAnsi="Calibri" w:cs="Calibri"/>
                <w:color w:val="000000"/>
                <w:sz w:val="22"/>
                <w:szCs w:val="22"/>
              </w:rPr>
              <w:t>2.513 €</w:t>
            </w:r>
          </w:p>
        </w:tc>
        <w:tc>
          <w:tcPr>
            <w:tcW w:w="1701" w:type="dxa"/>
            <w:vAlign w:val="bottom"/>
          </w:tcPr>
          <w:p w14:paraId="17556195" w14:textId="04240706" w:rsidR="00F1765A" w:rsidRPr="00596B6E" w:rsidRDefault="00F1765A" w:rsidP="00F1765A">
            <w:pPr>
              <w:jc w:val="center"/>
              <w:cnfStyle w:val="000000000000" w:firstRow="0" w:lastRow="0" w:firstColumn="0" w:lastColumn="0" w:oddVBand="0" w:evenVBand="0" w:oddHBand="0" w:evenHBand="0" w:firstRowFirstColumn="0" w:firstRowLastColumn="0" w:lastRowFirstColumn="0" w:lastRowLastColumn="0"/>
              <w:rPr>
                <w:color w:val="000000"/>
              </w:rPr>
            </w:pPr>
            <w:r>
              <w:rPr>
                <w:rFonts w:ascii="Calibri" w:hAnsi="Calibri" w:cs="Calibri"/>
                <w:color w:val="C00000"/>
                <w:sz w:val="22"/>
                <w:szCs w:val="22"/>
              </w:rPr>
              <w:t>-1,6 %</w:t>
            </w:r>
          </w:p>
        </w:tc>
        <w:tc>
          <w:tcPr>
            <w:tcW w:w="1559" w:type="dxa"/>
            <w:vAlign w:val="bottom"/>
          </w:tcPr>
          <w:p w14:paraId="418D5025" w14:textId="51103D8E" w:rsidR="00F1765A" w:rsidRPr="00596B6E" w:rsidRDefault="00F1765A" w:rsidP="00F1765A">
            <w:pPr>
              <w:jc w:val="center"/>
              <w:cnfStyle w:val="000000000000" w:firstRow="0" w:lastRow="0" w:firstColumn="0" w:lastColumn="0" w:oddVBand="0" w:evenVBand="0" w:oddHBand="0" w:evenHBand="0" w:firstRowFirstColumn="0" w:firstRowLastColumn="0" w:lastRowFirstColumn="0" w:lastRowLastColumn="0"/>
              <w:rPr>
                <w:color w:val="000000"/>
              </w:rPr>
            </w:pPr>
            <w:r>
              <w:rPr>
                <w:rFonts w:ascii="Calibri" w:hAnsi="Calibri" w:cs="Calibri"/>
                <w:color w:val="000000"/>
                <w:sz w:val="22"/>
                <w:szCs w:val="22"/>
              </w:rPr>
              <w:t>3,9 %</w:t>
            </w:r>
          </w:p>
        </w:tc>
        <w:tc>
          <w:tcPr>
            <w:tcW w:w="1559" w:type="dxa"/>
            <w:vAlign w:val="bottom"/>
          </w:tcPr>
          <w:p w14:paraId="65486C10" w14:textId="660A0247" w:rsidR="00F1765A" w:rsidRPr="00596B6E" w:rsidRDefault="00F1765A" w:rsidP="00F1765A">
            <w:pPr>
              <w:jc w:val="center"/>
              <w:cnfStyle w:val="000000000000" w:firstRow="0" w:lastRow="0" w:firstColumn="0" w:lastColumn="0" w:oddVBand="0" w:evenVBand="0" w:oddHBand="0" w:evenHBand="0" w:firstRowFirstColumn="0" w:firstRowLastColumn="0" w:lastRowFirstColumn="0" w:lastRowLastColumn="0"/>
              <w:rPr>
                <w:color w:val="FF0000"/>
              </w:rPr>
            </w:pPr>
            <w:r>
              <w:rPr>
                <w:rFonts w:ascii="Calibri" w:hAnsi="Calibri" w:cs="Calibri"/>
                <w:color w:val="C00000"/>
                <w:sz w:val="22"/>
                <w:szCs w:val="22"/>
              </w:rPr>
              <w:t>-35,0%</w:t>
            </w:r>
          </w:p>
        </w:tc>
      </w:tr>
      <w:tr w:rsidR="00F1765A" w:rsidRPr="00544375" w14:paraId="208AEEC6" w14:textId="77777777" w:rsidTr="00914F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4731E9DA" w14:textId="2E05228A" w:rsidR="00F1765A" w:rsidRPr="00596B6E" w:rsidRDefault="00F1765A" w:rsidP="00F1765A">
            <w:pPr>
              <w:jc w:val="right"/>
              <w:rPr>
                <w:rFonts w:ascii="Calibri" w:hAnsi="Calibri"/>
              </w:rPr>
            </w:pPr>
            <w:r w:rsidRPr="00F1765A">
              <w:rPr>
                <w:rFonts w:ascii="Calibri" w:hAnsi="Calibri"/>
              </w:rPr>
              <w:t>Cantabria</w:t>
            </w:r>
          </w:p>
        </w:tc>
        <w:tc>
          <w:tcPr>
            <w:tcW w:w="1701" w:type="dxa"/>
            <w:vAlign w:val="bottom"/>
          </w:tcPr>
          <w:p w14:paraId="60E53D10" w14:textId="65087951" w:rsidR="00F1765A" w:rsidRPr="00596B6E" w:rsidRDefault="00F1765A" w:rsidP="00F1765A">
            <w:pPr>
              <w:jc w:val="center"/>
              <w:cnfStyle w:val="000000100000" w:firstRow="0" w:lastRow="0" w:firstColumn="0" w:lastColumn="0" w:oddVBand="0" w:evenVBand="0" w:oddHBand="1" w:evenHBand="0" w:firstRowFirstColumn="0" w:firstRowLastColumn="0" w:lastRowFirstColumn="0" w:lastRowLastColumn="0"/>
              <w:rPr>
                <w:color w:val="000000"/>
              </w:rPr>
            </w:pPr>
            <w:r>
              <w:rPr>
                <w:rFonts w:ascii="Calibri" w:hAnsi="Calibri" w:cs="Calibri"/>
                <w:color w:val="000000"/>
                <w:sz w:val="22"/>
                <w:szCs w:val="22"/>
              </w:rPr>
              <w:t>1.721 €</w:t>
            </w:r>
          </w:p>
        </w:tc>
        <w:tc>
          <w:tcPr>
            <w:tcW w:w="1701" w:type="dxa"/>
            <w:vAlign w:val="bottom"/>
          </w:tcPr>
          <w:p w14:paraId="55648C17" w14:textId="03EB2D9B" w:rsidR="00F1765A" w:rsidRPr="00596B6E" w:rsidRDefault="00F1765A" w:rsidP="00F1765A">
            <w:pPr>
              <w:jc w:val="center"/>
              <w:cnfStyle w:val="000000100000" w:firstRow="0" w:lastRow="0" w:firstColumn="0" w:lastColumn="0" w:oddVBand="0" w:evenVBand="0" w:oddHBand="1" w:evenHBand="0" w:firstRowFirstColumn="0" w:firstRowLastColumn="0" w:lastRowFirstColumn="0" w:lastRowLastColumn="0"/>
              <w:rPr>
                <w:color w:val="000000"/>
              </w:rPr>
            </w:pPr>
            <w:r>
              <w:rPr>
                <w:rFonts w:ascii="Calibri" w:hAnsi="Calibri" w:cs="Calibri"/>
                <w:color w:val="000000"/>
                <w:sz w:val="22"/>
                <w:szCs w:val="22"/>
              </w:rPr>
              <w:t>0,1 %</w:t>
            </w:r>
          </w:p>
        </w:tc>
        <w:tc>
          <w:tcPr>
            <w:tcW w:w="1559" w:type="dxa"/>
            <w:vAlign w:val="bottom"/>
          </w:tcPr>
          <w:p w14:paraId="0D5F432C" w14:textId="305CA4CD" w:rsidR="00F1765A" w:rsidRPr="00596B6E" w:rsidRDefault="00F1765A" w:rsidP="00F1765A">
            <w:pPr>
              <w:jc w:val="center"/>
              <w:cnfStyle w:val="000000100000" w:firstRow="0" w:lastRow="0" w:firstColumn="0" w:lastColumn="0" w:oddVBand="0" w:evenVBand="0" w:oddHBand="1" w:evenHBand="0" w:firstRowFirstColumn="0" w:firstRowLastColumn="0" w:lastRowFirstColumn="0" w:lastRowLastColumn="0"/>
              <w:rPr>
                <w:color w:val="000000"/>
              </w:rPr>
            </w:pPr>
            <w:r>
              <w:rPr>
                <w:rFonts w:ascii="Calibri" w:hAnsi="Calibri" w:cs="Calibri"/>
                <w:color w:val="000000"/>
                <w:sz w:val="22"/>
                <w:szCs w:val="22"/>
              </w:rPr>
              <w:t>8,1 %</w:t>
            </w:r>
          </w:p>
        </w:tc>
        <w:tc>
          <w:tcPr>
            <w:tcW w:w="1559" w:type="dxa"/>
            <w:vAlign w:val="bottom"/>
          </w:tcPr>
          <w:p w14:paraId="1AA0A948" w14:textId="7398D995" w:rsidR="00F1765A" w:rsidRPr="00596B6E" w:rsidRDefault="00F1765A" w:rsidP="00F1765A">
            <w:pPr>
              <w:jc w:val="center"/>
              <w:cnfStyle w:val="000000100000" w:firstRow="0" w:lastRow="0" w:firstColumn="0" w:lastColumn="0" w:oddVBand="0" w:evenVBand="0" w:oddHBand="1" w:evenHBand="0" w:firstRowFirstColumn="0" w:firstRowLastColumn="0" w:lastRowFirstColumn="0" w:lastRowLastColumn="0"/>
              <w:rPr>
                <w:color w:val="FF0000"/>
              </w:rPr>
            </w:pPr>
            <w:r>
              <w:rPr>
                <w:rFonts w:ascii="Calibri" w:hAnsi="Calibri" w:cs="Calibri"/>
                <w:color w:val="C00000"/>
                <w:sz w:val="22"/>
                <w:szCs w:val="22"/>
              </w:rPr>
              <w:t>-40,0%</w:t>
            </w:r>
          </w:p>
        </w:tc>
      </w:tr>
      <w:tr w:rsidR="00F1765A" w:rsidRPr="00544375" w14:paraId="476216BD" w14:textId="77777777" w:rsidTr="00914F28">
        <w:tc>
          <w:tcPr>
            <w:cnfStyle w:val="001000000000" w:firstRow="0" w:lastRow="0" w:firstColumn="1" w:lastColumn="0" w:oddVBand="0" w:evenVBand="0" w:oddHBand="0" w:evenHBand="0" w:firstRowFirstColumn="0" w:firstRowLastColumn="0" w:lastRowFirstColumn="0" w:lastRowLastColumn="0"/>
            <w:tcW w:w="2552" w:type="dxa"/>
            <w:vAlign w:val="bottom"/>
          </w:tcPr>
          <w:p w14:paraId="0CF6DD93" w14:textId="36479046" w:rsidR="00F1765A" w:rsidRPr="00596B6E" w:rsidRDefault="00F1765A" w:rsidP="00F1765A">
            <w:pPr>
              <w:jc w:val="right"/>
              <w:rPr>
                <w:rFonts w:ascii="Calibri" w:hAnsi="Calibri"/>
              </w:rPr>
            </w:pPr>
            <w:r w:rsidRPr="00F1765A">
              <w:rPr>
                <w:rFonts w:ascii="Calibri" w:hAnsi="Calibri"/>
              </w:rPr>
              <w:t>Canarias</w:t>
            </w:r>
          </w:p>
        </w:tc>
        <w:tc>
          <w:tcPr>
            <w:tcW w:w="1701" w:type="dxa"/>
            <w:vAlign w:val="bottom"/>
          </w:tcPr>
          <w:p w14:paraId="759F1A5B" w14:textId="09A5B37A" w:rsidR="00F1765A" w:rsidRPr="00596B6E" w:rsidRDefault="00F1765A" w:rsidP="00F1765A">
            <w:pPr>
              <w:jc w:val="center"/>
              <w:cnfStyle w:val="000000000000" w:firstRow="0" w:lastRow="0" w:firstColumn="0" w:lastColumn="0" w:oddVBand="0" w:evenVBand="0" w:oddHBand="0" w:evenHBand="0" w:firstRowFirstColumn="0" w:firstRowLastColumn="0" w:lastRowFirstColumn="0" w:lastRowLastColumn="0"/>
              <w:rPr>
                <w:color w:val="000000"/>
              </w:rPr>
            </w:pPr>
            <w:r>
              <w:rPr>
                <w:rFonts w:ascii="Calibri" w:hAnsi="Calibri" w:cs="Calibri"/>
                <w:color w:val="000000"/>
                <w:sz w:val="22"/>
                <w:szCs w:val="22"/>
              </w:rPr>
              <w:t>1.717 €</w:t>
            </w:r>
          </w:p>
        </w:tc>
        <w:tc>
          <w:tcPr>
            <w:tcW w:w="1701" w:type="dxa"/>
            <w:vAlign w:val="bottom"/>
          </w:tcPr>
          <w:p w14:paraId="73C2F99C" w14:textId="1533C873" w:rsidR="00F1765A" w:rsidRPr="00596B6E" w:rsidRDefault="00F1765A" w:rsidP="00F1765A">
            <w:pPr>
              <w:jc w:val="center"/>
              <w:cnfStyle w:val="000000000000" w:firstRow="0" w:lastRow="0" w:firstColumn="0" w:lastColumn="0" w:oddVBand="0" w:evenVBand="0" w:oddHBand="0" w:evenHBand="0" w:firstRowFirstColumn="0" w:firstRowLastColumn="0" w:lastRowFirstColumn="0" w:lastRowLastColumn="0"/>
              <w:rPr>
                <w:color w:val="000000"/>
              </w:rPr>
            </w:pPr>
            <w:r>
              <w:rPr>
                <w:rFonts w:ascii="Calibri" w:hAnsi="Calibri" w:cs="Calibri"/>
                <w:color w:val="C00000"/>
                <w:sz w:val="22"/>
                <w:szCs w:val="22"/>
              </w:rPr>
              <w:t>-0,1 %</w:t>
            </w:r>
          </w:p>
        </w:tc>
        <w:tc>
          <w:tcPr>
            <w:tcW w:w="1559" w:type="dxa"/>
            <w:vAlign w:val="bottom"/>
          </w:tcPr>
          <w:p w14:paraId="19EECCE3" w14:textId="29A930E9" w:rsidR="00F1765A" w:rsidRPr="00596B6E" w:rsidRDefault="00F1765A" w:rsidP="00F1765A">
            <w:pPr>
              <w:jc w:val="center"/>
              <w:cnfStyle w:val="000000000000" w:firstRow="0" w:lastRow="0" w:firstColumn="0" w:lastColumn="0" w:oddVBand="0" w:evenVBand="0" w:oddHBand="0" w:evenHBand="0" w:firstRowFirstColumn="0" w:firstRowLastColumn="0" w:lastRowFirstColumn="0" w:lastRowLastColumn="0"/>
              <w:rPr>
                <w:color w:val="000000"/>
              </w:rPr>
            </w:pPr>
            <w:r>
              <w:rPr>
                <w:rFonts w:ascii="Calibri" w:hAnsi="Calibri" w:cs="Calibri"/>
                <w:color w:val="000000"/>
                <w:sz w:val="22"/>
                <w:szCs w:val="22"/>
              </w:rPr>
              <w:t>10,2 %</w:t>
            </w:r>
          </w:p>
        </w:tc>
        <w:tc>
          <w:tcPr>
            <w:tcW w:w="1559" w:type="dxa"/>
            <w:vAlign w:val="bottom"/>
          </w:tcPr>
          <w:p w14:paraId="7936D3A3" w14:textId="36D53CAE" w:rsidR="00F1765A" w:rsidRPr="00596B6E" w:rsidRDefault="00F1765A" w:rsidP="00F1765A">
            <w:pPr>
              <w:jc w:val="center"/>
              <w:cnfStyle w:val="000000000000" w:firstRow="0" w:lastRow="0" w:firstColumn="0" w:lastColumn="0" w:oddVBand="0" w:evenVBand="0" w:oddHBand="0" w:evenHBand="0" w:firstRowFirstColumn="0" w:firstRowLastColumn="0" w:lastRowFirstColumn="0" w:lastRowLastColumn="0"/>
              <w:rPr>
                <w:color w:val="FF0000"/>
              </w:rPr>
            </w:pPr>
            <w:r>
              <w:rPr>
                <w:rFonts w:ascii="Calibri" w:hAnsi="Calibri" w:cs="Calibri"/>
                <w:color w:val="C00000"/>
                <w:sz w:val="22"/>
                <w:szCs w:val="22"/>
              </w:rPr>
              <w:t>-20,3%</w:t>
            </w:r>
          </w:p>
        </w:tc>
      </w:tr>
      <w:tr w:rsidR="00F1765A" w:rsidRPr="00544375" w14:paraId="1B2E0B22" w14:textId="77777777" w:rsidTr="00914F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190F3AB0" w14:textId="4BE22069" w:rsidR="00F1765A" w:rsidRPr="00596B6E" w:rsidRDefault="00F1765A" w:rsidP="00F1765A">
            <w:pPr>
              <w:jc w:val="right"/>
              <w:rPr>
                <w:rFonts w:ascii="Calibri" w:hAnsi="Calibri"/>
              </w:rPr>
            </w:pPr>
            <w:r w:rsidRPr="00F1765A">
              <w:rPr>
                <w:rFonts w:ascii="Calibri" w:hAnsi="Calibri"/>
              </w:rPr>
              <w:t>Navarra</w:t>
            </w:r>
          </w:p>
        </w:tc>
        <w:tc>
          <w:tcPr>
            <w:tcW w:w="1701" w:type="dxa"/>
            <w:vAlign w:val="bottom"/>
          </w:tcPr>
          <w:p w14:paraId="784B263C" w14:textId="0256F026" w:rsidR="00F1765A" w:rsidRPr="00596B6E" w:rsidRDefault="00F1765A" w:rsidP="00F1765A">
            <w:pPr>
              <w:jc w:val="center"/>
              <w:cnfStyle w:val="000000100000" w:firstRow="0" w:lastRow="0" w:firstColumn="0" w:lastColumn="0" w:oddVBand="0" w:evenVBand="0" w:oddHBand="1" w:evenHBand="0" w:firstRowFirstColumn="0" w:firstRowLastColumn="0" w:lastRowFirstColumn="0" w:lastRowLastColumn="0"/>
              <w:rPr>
                <w:color w:val="000000"/>
              </w:rPr>
            </w:pPr>
            <w:r>
              <w:rPr>
                <w:rFonts w:ascii="Calibri" w:hAnsi="Calibri" w:cs="Calibri"/>
                <w:color w:val="000000"/>
                <w:sz w:val="22"/>
                <w:szCs w:val="22"/>
              </w:rPr>
              <w:t>1.632 €</w:t>
            </w:r>
          </w:p>
        </w:tc>
        <w:tc>
          <w:tcPr>
            <w:tcW w:w="1701" w:type="dxa"/>
            <w:vAlign w:val="bottom"/>
          </w:tcPr>
          <w:p w14:paraId="7606C3C1" w14:textId="01B74826" w:rsidR="00F1765A" w:rsidRPr="00596B6E" w:rsidRDefault="00F1765A" w:rsidP="00F1765A">
            <w:pPr>
              <w:jc w:val="center"/>
              <w:cnfStyle w:val="000000100000" w:firstRow="0" w:lastRow="0" w:firstColumn="0" w:lastColumn="0" w:oddVBand="0" w:evenVBand="0" w:oddHBand="1" w:evenHBand="0" w:firstRowFirstColumn="0" w:firstRowLastColumn="0" w:lastRowFirstColumn="0" w:lastRowLastColumn="0"/>
              <w:rPr>
                <w:color w:val="000000"/>
              </w:rPr>
            </w:pPr>
            <w:r>
              <w:rPr>
                <w:rFonts w:ascii="Calibri" w:hAnsi="Calibri" w:cs="Calibri"/>
                <w:color w:val="C00000"/>
                <w:sz w:val="22"/>
                <w:szCs w:val="22"/>
              </w:rPr>
              <w:t>-2,4 %</w:t>
            </w:r>
          </w:p>
        </w:tc>
        <w:tc>
          <w:tcPr>
            <w:tcW w:w="1559" w:type="dxa"/>
            <w:vAlign w:val="bottom"/>
          </w:tcPr>
          <w:p w14:paraId="7C90BBF8" w14:textId="7F685B45" w:rsidR="00F1765A" w:rsidRPr="00596B6E" w:rsidRDefault="00F1765A" w:rsidP="00F1765A">
            <w:pPr>
              <w:jc w:val="center"/>
              <w:cnfStyle w:val="000000100000" w:firstRow="0" w:lastRow="0" w:firstColumn="0" w:lastColumn="0" w:oddVBand="0" w:evenVBand="0" w:oddHBand="1" w:evenHBand="0" w:firstRowFirstColumn="0" w:firstRowLastColumn="0" w:lastRowFirstColumn="0" w:lastRowLastColumn="0"/>
              <w:rPr>
                <w:color w:val="000000"/>
              </w:rPr>
            </w:pPr>
            <w:r>
              <w:rPr>
                <w:rFonts w:ascii="Calibri" w:hAnsi="Calibri" w:cs="Calibri"/>
                <w:color w:val="000000"/>
                <w:sz w:val="22"/>
                <w:szCs w:val="22"/>
              </w:rPr>
              <w:t>4,6 %</w:t>
            </w:r>
          </w:p>
        </w:tc>
        <w:tc>
          <w:tcPr>
            <w:tcW w:w="1559" w:type="dxa"/>
            <w:vAlign w:val="bottom"/>
          </w:tcPr>
          <w:p w14:paraId="578818D8" w14:textId="7C4FEDF4" w:rsidR="00F1765A" w:rsidRPr="00596B6E" w:rsidRDefault="00F1765A" w:rsidP="00F1765A">
            <w:pPr>
              <w:jc w:val="center"/>
              <w:cnfStyle w:val="000000100000" w:firstRow="0" w:lastRow="0" w:firstColumn="0" w:lastColumn="0" w:oddVBand="0" w:evenVBand="0" w:oddHBand="1" w:evenHBand="0" w:firstRowFirstColumn="0" w:firstRowLastColumn="0" w:lastRowFirstColumn="0" w:lastRowLastColumn="0"/>
              <w:rPr>
                <w:color w:val="FF0000"/>
              </w:rPr>
            </w:pPr>
            <w:r>
              <w:rPr>
                <w:rFonts w:ascii="Calibri" w:hAnsi="Calibri" w:cs="Calibri"/>
                <w:color w:val="C00000"/>
                <w:sz w:val="22"/>
                <w:szCs w:val="22"/>
              </w:rPr>
              <w:t>-51,9%</w:t>
            </w:r>
          </w:p>
        </w:tc>
      </w:tr>
      <w:tr w:rsidR="00F1765A" w:rsidRPr="00544375" w14:paraId="129F6742" w14:textId="77777777" w:rsidTr="00914F28">
        <w:tc>
          <w:tcPr>
            <w:cnfStyle w:val="001000000000" w:firstRow="0" w:lastRow="0" w:firstColumn="1" w:lastColumn="0" w:oddVBand="0" w:evenVBand="0" w:oddHBand="0" w:evenHBand="0" w:firstRowFirstColumn="0" w:firstRowLastColumn="0" w:lastRowFirstColumn="0" w:lastRowLastColumn="0"/>
            <w:tcW w:w="2552" w:type="dxa"/>
            <w:vAlign w:val="bottom"/>
          </w:tcPr>
          <w:p w14:paraId="506DEA12" w14:textId="1BD4B414" w:rsidR="00F1765A" w:rsidRPr="00596B6E" w:rsidRDefault="00F1765A" w:rsidP="00F1765A">
            <w:pPr>
              <w:jc w:val="right"/>
              <w:rPr>
                <w:rFonts w:ascii="Calibri" w:hAnsi="Calibri"/>
              </w:rPr>
            </w:pPr>
            <w:r w:rsidRPr="00F1765A">
              <w:rPr>
                <w:rFonts w:ascii="Calibri" w:hAnsi="Calibri"/>
              </w:rPr>
              <w:t>Andalucía</w:t>
            </w:r>
          </w:p>
        </w:tc>
        <w:tc>
          <w:tcPr>
            <w:tcW w:w="1701" w:type="dxa"/>
            <w:vAlign w:val="bottom"/>
          </w:tcPr>
          <w:p w14:paraId="23B9A2C3" w14:textId="429B2CCB" w:rsidR="00F1765A" w:rsidRPr="00596B6E" w:rsidRDefault="00F1765A" w:rsidP="00F1765A">
            <w:pPr>
              <w:jc w:val="center"/>
              <w:cnfStyle w:val="000000000000" w:firstRow="0" w:lastRow="0" w:firstColumn="0" w:lastColumn="0" w:oddVBand="0" w:evenVBand="0" w:oddHBand="0" w:evenHBand="0" w:firstRowFirstColumn="0" w:firstRowLastColumn="0" w:lastRowFirstColumn="0" w:lastRowLastColumn="0"/>
              <w:rPr>
                <w:color w:val="000000"/>
              </w:rPr>
            </w:pPr>
            <w:r>
              <w:rPr>
                <w:rFonts w:ascii="Calibri" w:hAnsi="Calibri" w:cs="Calibri"/>
                <w:color w:val="000000"/>
                <w:sz w:val="22"/>
                <w:szCs w:val="22"/>
              </w:rPr>
              <w:t>1.622 €</w:t>
            </w:r>
          </w:p>
        </w:tc>
        <w:tc>
          <w:tcPr>
            <w:tcW w:w="1701" w:type="dxa"/>
            <w:vAlign w:val="bottom"/>
          </w:tcPr>
          <w:p w14:paraId="23A5CDBC" w14:textId="0AB76D26" w:rsidR="00F1765A" w:rsidRPr="00596B6E" w:rsidRDefault="00F1765A" w:rsidP="00F1765A">
            <w:pPr>
              <w:jc w:val="center"/>
              <w:cnfStyle w:val="000000000000" w:firstRow="0" w:lastRow="0" w:firstColumn="0" w:lastColumn="0" w:oddVBand="0" w:evenVBand="0" w:oddHBand="0" w:evenHBand="0" w:firstRowFirstColumn="0" w:firstRowLastColumn="0" w:lastRowFirstColumn="0" w:lastRowLastColumn="0"/>
              <w:rPr>
                <w:color w:val="000000"/>
              </w:rPr>
            </w:pPr>
            <w:r>
              <w:rPr>
                <w:rFonts w:ascii="Calibri" w:hAnsi="Calibri" w:cs="Calibri"/>
                <w:color w:val="C00000"/>
                <w:sz w:val="22"/>
                <w:szCs w:val="22"/>
              </w:rPr>
              <w:t>-1,2 %</w:t>
            </w:r>
          </w:p>
        </w:tc>
        <w:tc>
          <w:tcPr>
            <w:tcW w:w="1559" w:type="dxa"/>
            <w:vAlign w:val="bottom"/>
          </w:tcPr>
          <w:p w14:paraId="2AD2764C" w14:textId="61190824" w:rsidR="00F1765A" w:rsidRPr="00596B6E" w:rsidRDefault="00F1765A" w:rsidP="00F1765A">
            <w:pPr>
              <w:jc w:val="center"/>
              <w:cnfStyle w:val="000000000000" w:firstRow="0" w:lastRow="0" w:firstColumn="0" w:lastColumn="0" w:oddVBand="0" w:evenVBand="0" w:oddHBand="0" w:evenHBand="0" w:firstRowFirstColumn="0" w:firstRowLastColumn="0" w:lastRowFirstColumn="0" w:lastRowLastColumn="0"/>
              <w:rPr>
                <w:color w:val="000000"/>
              </w:rPr>
            </w:pPr>
            <w:r>
              <w:rPr>
                <w:rFonts w:ascii="Calibri" w:hAnsi="Calibri" w:cs="Calibri"/>
                <w:color w:val="000000"/>
                <w:sz w:val="22"/>
                <w:szCs w:val="22"/>
              </w:rPr>
              <w:t>6,4 %</w:t>
            </w:r>
          </w:p>
        </w:tc>
        <w:tc>
          <w:tcPr>
            <w:tcW w:w="1559" w:type="dxa"/>
            <w:vAlign w:val="bottom"/>
          </w:tcPr>
          <w:p w14:paraId="671102A5" w14:textId="47AD30C4" w:rsidR="00F1765A" w:rsidRPr="00596B6E" w:rsidRDefault="00F1765A" w:rsidP="00F1765A">
            <w:pPr>
              <w:jc w:val="center"/>
              <w:cnfStyle w:val="000000000000" w:firstRow="0" w:lastRow="0" w:firstColumn="0" w:lastColumn="0" w:oddVBand="0" w:evenVBand="0" w:oddHBand="0" w:evenHBand="0" w:firstRowFirstColumn="0" w:firstRowLastColumn="0" w:lastRowFirstColumn="0" w:lastRowLastColumn="0"/>
              <w:rPr>
                <w:color w:val="FF0000"/>
              </w:rPr>
            </w:pPr>
            <w:r>
              <w:rPr>
                <w:rFonts w:ascii="Calibri" w:hAnsi="Calibri" w:cs="Calibri"/>
                <w:color w:val="C00000"/>
                <w:sz w:val="22"/>
                <w:szCs w:val="22"/>
              </w:rPr>
              <w:t>-35,3%</w:t>
            </w:r>
          </w:p>
        </w:tc>
      </w:tr>
      <w:tr w:rsidR="00F1765A" w:rsidRPr="00544375" w14:paraId="2D0B554B" w14:textId="77777777" w:rsidTr="00914F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0849175C" w14:textId="76CBDF0D" w:rsidR="00F1765A" w:rsidRPr="00596B6E" w:rsidRDefault="00F1765A" w:rsidP="00F1765A">
            <w:pPr>
              <w:jc w:val="right"/>
              <w:rPr>
                <w:rFonts w:ascii="Calibri" w:hAnsi="Calibri"/>
              </w:rPr>
            </w:pPr>
            <w:r w:rsidRPr="00F1765A">
              <w:rPr>
                <w:rFonts w:ascii="Calibri" w:hAnsi="Calibri"/>
              </w:rPr>
              <w:t>Galicia</w:t>
            </w:r>
          </w:p>
        </w:tc>
        <w:tc>
          <w:tcPr>
            <w:tcW w:w="1701" w:type="dxa"/>
            <w:vAlign w:val="bottom"/>
          </w:tcPr>
          <w:p w14:paraId="7711E9BA" w14:textId="16F4B773" w:rsidR="00F1765A" w:rsidRPr="00596B6E" w:rsidRDefault="00F1765A" w:rsidP="00F1765A">
            <w:pPr>
              <w:jc w:val="center"/>
              <w:cnfStyle w:val="000000100000" w:firstRow="0" w:lastRow="0" w:firstColumn="0" w:lastColumn="0" w:oddVBand="0" w:evenVBand="0" w:oddHBand="1" w:evenHBand="0" w:firstRowFirstColumn="0" w:firstRowLastColumn="0" w:lastRowFirstColumn="0" w:lastRowLastColumn="0"/>
              <w:rPr>
                <w:color w:val="000000"/>
              </w:rPr>
            </w:pPr>
            <w:r>
              <w:rPr>
                <w:rFonts w:ascii="Calibri" w:hAnsi="Calibri" w:cs="Calibri"/>
                <w:color w:val="000000"/>
                <w:sz w:val="22"/>
                <w:szCs w:val="22"/>
              </w:rPr>
              <w:t>1.595 €</w:t>
            </w:r>
          </w:p>
        </w:tc>
        <w:tc>
          <w:tcPr>
            <w:tcW w:w="1701" w:type="dxa"/>
            <w:vAlign w:val="bottom"/>
          </w:tcPr>
          <w:p w14:paraId="05408573" w14:textId="5305B00E" w:rsidR="00F1765A" w:rsidRPr="00596B6E" w:rsidRDefault="00F1765A" w:rsidP="00F1765A">
            <w:pPr>
              <w:jc w:val="center"/>
              <w:cnfStyle w:val="000000100000" w:firstRow="0" w:lastRow="0" w:firstColumn="0" w:lastColumn="0" w:oddVBand="0" w:evenVBand="0" w:oddHBand="1" w:evenHBand="0" w:firstRowFirstColumn="0" w:firstRowLastColumn="0" w:lastRowFirstColumn="0" w:lastRowLastColumn="0"/>
              <w:rPr>
                <w:color w:val="000000"/>
              </w:rPr>
            </w:pPr>
            <w:r>
              <w:rPr>
                <w:rFonts w:ascii="Calibri" w:hAnsi="Calibri" w:cs="Calibri"/>
                <w:color w:val="C00000"/>
                <w:sz w:val="22"/>
                <w:szCs w:val="22"/>
              </w:rPr>
              <w:t>-2,4 %</w:t>
            </w:r>
          </w:p>
        </w:tc>
        <w:tc>
          <w:tcPr>
            <w:tcW w:w="1559" w:type="dxa"/>
            <w:vAlign w:val="bottom"/>
          </w:tcPr>
          <w:p w14:paraId="174C5071" w14:textId="58D291AB" w:rsidR="00F1765A" w:rsidRPr="00596B6E" w:rsidRDefault="00F1765A" w:rsidP="00F1765A">
            <w:pPr>
              <w:jc w:val="center"/>
              <w:cnfStyle w:val="000000100000" w:firstRow="0" w:lastRow="0" w:firstColumn="0" w:lastColumn="0" w:oddVBand="0" w:evenVBand="0" w:oddHBand="1" w:evenHBand="0" w:firstRowFirstColumn="0" w:firstRowLastColumn="0" w:lastRowFirstColumn="0" w:lastRowLastColumn="0"/>
              <w:rPr>
                <w:color w:val="000000"/>
              </w:rPr>
            </w:pPr>
            <w:r>
              <w:rPr>
                <w:rFonts w:ascii="Calibri" w:hAnsi="Calibri" w:cs="Calibri"/>
                <w:color w:val="000000"/>
                <w:sz w:val="22"/>
                <w:szCs w:val="22"/>
              </w:rPr>
              <w:t>0,5 %</w:t>
            </w:r>
          </w:p>
        </w:tc>
        <w:tc>
          <w:tcPr>
            <w:tcW w:w="1559" w:type="dxa"/>
            <w:vAlign w:val="bottom"/>
          </w:tcPr>
          <w:p w14:paraId="65B6B359" w14:textId="2EED17B3" w:rsidR="00F1765A" w:rsidRPr="00596B6E" w:rsidRDefault="00F1765A" w:rsidP="00F1765A">
            <w:pPr>
              <w:jc w:val="center"/>
              <w:cnfStyle w:val="000000100000" w:firstRow="0" w:lastRow="0" w:firstColumn="0" w:lastColumn="0" w:oddVBand="0" w:evenVBand="0" w:oddHBand="1" w:evenHBand="0" w:firstRowFirstColumn="0" w:firstRowLastColumn="0" w:lastRowFirstColumn="0" w:lastRowLastColumn="0"/>
              <w:rPr>
                <w:color w:val="FF0000"/>
              </w:rPr>
            </w:pPr>
            <w:r>
              <w:rPr>
                <w:rFonts w:ascii="Calibri" w:hAnsi="Calibri" w:cs="Calibri"/>
                <w:color w:val="C00000"/>
                <w:sz w:val="22"/>
                <w:szCs w:val="22"/>
              </w:rPr>
              <w:t>-33,0%</w:t>
            </w:r>
          </w:p>
        </w:tc>
      </w:tr>
      <w:tr w:rsidR="00F1765A" w:rsidRPr="00544375" w14:paraId="2F30E9A3" w14:textId="77777777" w:rsidTr="00914F28">
        <w:tc>
          <w:tcPr>
            <w:cnfStyle w:val="001000000000" w:firstRow="0" w:lastRow="0" w:firstColumn="1" w:lastColumn="0" w:oddVBand="0" w:evenVBand="0" w:oddHBand="0" w:evenHBand="0" w:firstRowFirstColumn="0" w:firstRowLastColumn="0" w:lastRowFirstColumn="0" w:lastRowLastColumn="0"/>
            <w:tcW w:w="2552" w:type="dxa"/>
            <w:vAlign w:val="bottom"/>
          </w:tcPr>
          <w:p w14:paraId="26D3F0AB" w14:textId="4EC9FEAD" w:rsidR="00F1765A" w:rsidRPr="00596B6E" w:rsidRDefault="00F1765A" w:rsidP="00F1765A">
            <w:pPr>
              <w:jc w:val="right"/>
              <w:rPr>
                <w:rFonts w:ascii="Calibri" w:hAnsi="Calibri"/>
              </w:rPr>
            </w:pPr>
            <w:r w:rsidRPr="00F1765A">
              <w:rPr>
                <w:rFonts w:ascii="Calibri" w:hAnsi="Calibri"/>
              </w:rPr>
              <w:t>Aragón</w:t>
            </w:r>
          </w:p>
        </w:tc>
        <w:tc>
          <w:tcPr>
            <w:tcW w:w="1701" w:type="dxa"/>
            <w:vAlign w:val="bottom"/>
          </w:tcPr>
          <w:p w14:paraId="2BC4A278" w14:textId="223E9F50" w:rsidR="00F1765A" w:rsidRPr="00596B6E" w:rsidRDefault="00F1765A" w:rsidP="00F1765A">
            <w:pPr>
              <w:jc w:val="center"/>
              <w:cnfStyle w:val="000000000000" w:firstRow="0" w:lastRow="0" w:firstColumn="0" w:lastColumn="0" w:oddVBand="0" w:evenVBand="0" w:oddHBand="0" w:evenHBand="0" w:firstRowFirstColumn="0" w:firstRowLastColumn="0" w:lastRowFirstColumn="0" w:lastRowLastColumn="0"/>
              <w:rPr>
                <w:color w:val="000000"/>
              </w:rPr>
            </w:pPr>
            <w:r>
              <w:rPr>
                <w:rFonts w:ascii="Calibri" w:hAnsi="Calibri" w:cs="Calibri"/>
                <w:color w:val="000000"/>
                <w:sz w:val="22"/>
                <w:szCs w:val="22"/>
              </w:rPr>
              <w:t>1.577 €</w:t>
            </w:r>
          </w:p>
        </w:tc>
        <w:tc>
          <w:tcPr>
            <w:tcW w:w="1701" w:type="dxa"/>
            <w:vAlign w:val="bottom"/>
          </w:tcPr>
          <w:p w14:paraId="3199A0F9" w14:textId="58D1FCB3" w:rsidR="00F1765A" w:rsidRPr="00596B6E" w:rsidRDefault="00F1765A" w:rsidP="00F1765A">
            <w:pPr>
              <w:jc w:val="center"/>
              <w:cnfStyle w:val="000000000000" w:firstRow="0" w:lastRow="0" w:firstColumn="0" w:lastColumn="0" w:oddVBand="0" w:evenVBand="0" w:oddHBand="0" w:evenHBand="0" w:firstRowFirstColumn="0" w:firstRowLastColumn="0" w:lastRowFirstColumn="0" w:lastRowLastColumn="0"/>
              <w:rPr>
                <w:color w:val="000000"/>
              </w:rPr>
            </w:pPr>
            <w:r>
              <w:rPr>
                <w:rFonts w:ascii="Calibri" w:hAnsi="Calibri" w:cs="Calibri"/>
                <w:color w:val="C00000"/>
                <w:sz w:val="22"/>
                <w:szCs w:val="22"/>
              </w:rPr>
              <w:t>-0,7 %</w:t>
            </w:r>
          </w:p>
        </w:tc>
        <w:tc>
          <w:tcPr>
            <w:tcW w:w="1559" w:type="dxa"/>
            <w:vAlign w:val="bottom"/>
          </w:tcPr>
          <w:p w14:paraId="6DC13FF4" w14:textId="0F2F20CB" w:rsidR="00F1765A" w:rsidRPr="00596B6E" w:rsidRDefault="00F1765A" w:rsidP="00F1765A">
            <w:pPr>
              <w:jc w:val="center"/>
              <w:cnfStyle w:val="000000000000" w:firstRow="0" w:lastRow="0" w:firstColumn="0" w:lastColumn="0" w:oddVBand="0" w:evenVBand="0" w:oddHBand="0" w:evenHBand="0" w:firstRowFirstColumn="0" w:firstRowLastColumn="0" w:lastRowFirstColumn="0" w:lastRowLastColumn="0"/>
              <w:rPr>
                <w:color w:val="000000"/>
              </w:rPr>
            </w:pPr>
            <w:r>
              <w:rPr>
                <w:rFonts w:ascii="Calibri" w:hAnsi="Calibri" w:cs="Calibri"/>
                <w:color w:val="000000"/>
                <w:sz w:val="22"/>
                <w:szCs w:val="22"/>
              </w:rPr>
              <w:t>3,9 %</w:t>
            </w:r>
          </w:p>
        </w:tc>
        <w:tc>
          <w:tcPr>
            <w:tcW w:w="1559" w:type="dxa"/>
            <w:vAlign w:val="bottom"/>
          </w:tcPr>
          <w:p w14:paraId="29BF6921" w14:textId="6408A66F" w:rsidR="00F1765A" w:rsidRPr="00596B6E" w:rsidRDefault="00F1765A" w:rsidP="00F1765A">
            <w:pPr>
              <w:jc w:val="center"/>
              <w:cnfStyle w:val="000000000000" w:firstRow="0" w:lastRow="0" w:firstColumn="0" w:lastColumn="0" w:oddVBand="0" w:evenVBand="0" w:oddHBand="0" w:evenHBand="0" w:firstRowFirstColumn="0" w:firstRowLastColumn="0" w:lastRowFirstColumn="0" w:lastRowLastColumn="0"/>
              <w:rPr>
                <w:color w:val="FF0000"/>
              </w:rPr>
            </w:pPr>
            <w:r>
              <w:rPr>
                <w:rFonts w:ascii="Calibri" w:hAnsi="Calibri" w:cs="Calibri"/>
                <w:color w:val="C00000"/>
                <w:sz w:val="22"/>
                <w:szCs w:val="22"/>
              </w:rPr>
              <w:t>-49,2%</w:t>
            </w:r>
          </w:p>
        </w:tc>
      </w:tr>
      <w:tr w:rsidR="00F1765A" w:rsidRPr="00544375" w14:paraId="1E5A2473" w14:textId="77777777" w:rsidTr="00914F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027FD31B" w14:textId="3A381CAB" w:rsidR="00F1765A" w:rsidRPr="00596B6E" w:rsidRDefault="00F1765A" w:rsidP="00F1765A">
            <w:pPr>
              <w:jc w:val="right"/>
              <w:rPr>
                <w:rFonts w:ascii="Calibri" w:hAnsi="Calibri"/>
              </w:rPr>
            </w:pPr>
            <w:r w:rsidRPr="00F1765A">
              <w:rPr>
                <w:rFonts w:ascii="Calibri" w:hAnsi="Calibri"/>
              </w:rPr>
              <w:t>Asturias</w:t>
            </w:r>
          </w:p>
        </w:tc>
        <w:tc>
          <w:tcPr>
            <w:tcW w:w="1701" w:type="dxa"/>
            <w:vAlign w:val="bottom"/>
          </w:tcPr>
          <w:p w14:paraId="7CD271D2" w14:textId="5D1AA30E" w:rsidR="00F1765A" w:rsidRPr="00596B6E" w:rsidRDefault="00F1765A" w:rsidP="00F1765A">
            <w:pPr>
              <w:jc w:val="center"/>
              <w:cnfStyle w:val="000000100000" w:firstRow="0" w:lastRow="0" w:firstColumn="0" w:lastColumn="0" w:oddVBand="0" w:evenVBand="0" w:oddHBand="1" w:evenHBand="0" w:firstRowFirstColumn="0" w:firstRowLastColumn="0" w:lastRowFirstColumn="0" w:lastRowLastColumn="0"/>
              <w:rPr>
                <w:color w:val="000000"/>
              </w:rPr>
            </w:pPr>
            <w:r>
              <w:rPr>
                <w:rFonts w:ascii="Calibri" w:hAnsi="Calibri" w:cs="Calibri"/>
                <w:color w:val="000000"/>
                <w:sz w:val="22"/>
                <w:szCs w:val="22"/>
              </w:rPr>
              <w:t>1.540 €</w:t>
            </w:r>
          </w:p>
        </w:tc>
        <w:tc>
          <w:tcPr>
            <w:tcW w:w="1701" w:type="dxa"/>
            <w:vAlign w:val="bottom"/>
          </w:tcPr>
          <w:p w14:paraId="30657C47" w14:textId="283D7DF4" w:rsidR="00F1765A" w:rsidRPr="00596B6E" w:rsidRDefault="00F1765A" w:rsidP="00F1765A">
            <w:pPr>
              <w:jc w:val="center"/>
              <w:cnfStyle w:val="000000100000" w:firstRow="0" w:lastRow="0" w:firstColumn="0" w:lastColumn="0" w:oddVBand="0" w:evenVBand="0" w:oddHBand="1" w:evenHBand="0" w:firstRowFirstColumn="0" w:firstRowLastColumn="0" w:lastRowFirstColumn="0" w:lastRowLastColumn="0"/>
              <w:rPr>
                <w:color w:val="000000"/>
              </w:rPr>
            </w:pPr>
            <w:r>
              <w:rPr>
                <w:rFonts w:ascii="Calibri" w:hAnsi="Calibri" w:cs="Calibri"/>
                <w:color w:val="C00000"/>
                <w:sz w:val="22"/>
                <w:szCs w:val="22"/>
              </w:rPr>
              <w:t>-0,7 %</w:t>
            </w:r>
          </w:p>
        </w:tc>
        <w:tc>
          <w:tcPr>
            <w:tcW w:w="1559" w:type="dxa"/>
            <w:vAlign w:val="bottom"/>
          </w:tcPr>
          <w:p w14:paraId="405D8B6E" w14:textId="77921886" w:rsidR="00F1765A" w:rsidRPr="00596B6E" w:rsidRDefault="00F1765A" w:rsidP="00F1765A">
            <w:pPr>
              <w:jc w:val="center"/>
              <w:cnfStyle w:val="000000100000" w:firstRow="0" w:lastRow="0" w:firstColumn="0" w:lastColumn="0" w:oddVBand="0" w:evenVBand="0" w:oddHBand="1" w:evenHBand="0" w:firstRowFirstColumn="0" w:firstRowLastColumn="0" w:lastRowFirstColumn="0" w:lastRowLastColumn="0"/>
              <w:rPr>
                <w:color w:val="000000"/>
              </w:rPr>
            </w:pPr>
            <w:r>
              <w:rPr>
                <w:rFonts w:ascii="Calibri" w:hAnsi="Calibri" w:cs="Calibri"/>
                <w:color w:val="000000"/>
                <w:sz w:val="22"/>
                <w:szCs w:val="22"/>
              </w:rPr>
              <w:t>0,1 %</w:t>
            </w:r>
          </w:p>
        </w:tc>
        <w:tc>
          <w:tcPr>
            <w:tcW w:w="1559" w:type="dxa"/>
            <w:vAlign w:val="bottom"/>
          </w:tcPr>
          <w:p w14:paraId="5FBADA6B" w14:textId="213DE8BF" w:rsidR="00F1765A" w:rsidRPr="00596B6E" w:rsidRDefault="00F1765A" w:rsidP="00F1765A">
            <w:pPr>
              <w:jc w:val="center"/>
              <w:cnfStyle w:val="000000100000" w:firstRow="0" w:lastRow="0" w:firstColumn="0" w:lastColumn="0" w:oddVBand="0" w:evenVBand="0" w:oddHBand="1" w:evenHBand="0" w:firstRowFirstColumn="0" w:firstRowLastColumn="0" w:lastRowFirstColumn="0" w:lastRowLastColumn="0"/>
              <w:rPr>
                <w:color w:val="FF0000"/>
              </w:rPr>
            </w:pPr>
            <w:r>
              <w:rPr>
                <w:rFonts w:ascii="Calibri" w:hAnsi="Calibri" w:cs="Calibri"/>
                <w:color w:val="C00000"/>
                <w:sz w:val="22"/>
                <w:szCs w:val="22"/>
              </w:rPr>
              <w:t>-47,5%</w:t>
            </w:r>
          </w:p>
        </w:tc>
      </w:tr>
      <w:tr w:rsidR="00F1765A" w:rsidRPr="00544375" w14:paraId="53778AE3" w14:textId="77777777" w:rsidTr="00914F28">
        <w:tc>
          <w:tcPr>
            <w:cnfStyle w:val="001000000000" w:firstRow="0" w:lastRow="0" w:firstColumn="1" w:lastColumn="0" w:oddVBand="0" w:evenVBand="0" w:oddHBand="0" w:evenHBand="0" w:firstRowFirstColumn="0" w:firstRowLastColumn="0" w:lastRowFirstColumn="0" w:lastRowLastColumn="0"/>
            <w:tcW w:w="2552" w:type="dxa"/>
            <w:vAlign w:val="bottom"/>
          </w:tcPr>
          <w:p w14:paraId="033500A2" w14:textId="3460059A" w:rsidR="00F1765A" w:rsidRPr="00596B6E" w:rsidRDefault="00F1765A" w:rsidP="00F1765A">
            <w:pPr>
              <w:jc w:val="right"/>
              <w:rPr>
                <w:rFonts w:ascii="Calibri" w:hAnsi="Calibri"/>
              </w:rPr>
            </w:pPr>
            <w:r w:rsidRPr="00F1765A">
              <w:rPr>
                <w:rFonts w:ascii="Calibri" w:hAnsi="Calibri"/>
              </w:rPr>
              <w:t>Castilla y León</w:t>
            </w:r>
          </w:p>
        </w:tc>
        <w:tc>
          <w:tcPr>
            <w:tcW w:w="1701" w:type="dxa"/>
            <w:vAlign w:val="bottom"/>
          </w:tcPr>
          <w:p w14:paraId="23660AD0" w14:textId="0810632E" w:rsidR="00F1765A" w:rsidRPr="00596B6E" w:rsidRDefault="00F1765A" w:rsidP="00F1765A">
            <w:pPr>
              <w:jc w:val="center"/>
              <w:cnfStyle w:val="000000000000" w:firstRow="0" w:lastRow="0" w:firstColumn="0" w:lastColumn="0" w:oddVBand="0" w:evenVBand="0" w:oddHBand="0" w:evenHBand="0" w:firstRowFirstColumn="0" w:firstRowLastColumn="0" w:lastRowFirstColumn="0" w:lastRowLastColumn="0"/>
              <w:rPr>
                <w:color w:val="000000"/>
              </w:rPr>
            </w:pPr>
            <w:r>
              <w:rPr>
                <w:rFonts w:ascii="Calibri" w:hAnsi="Calibri" w:cs="Calibri"/>
                <w:color w:val="000000"/>
                <w:sz w:val="22"/>
                <w:szCs w:val="22"/>
              </w:rPr>
              <w:t>1.464 €</w:t>
            </w:r>
          </w:p>
        </w:tc>
        <w:tc>
          <w:tcPr>
            <w:tcW w:w="1701" w:type="dxa"/>
            <w:vAlign w:val="bottom"/>
          </w:tcPr>
          <w:p w14:paraId="1CB99DBE" w14:textId="114AF3C6" w:rsidR="00F1765A" w:rsidRPr="00596B6E" w:rsidRDefault="00F1765A" w:rsidP="00F1765A">
            <w:pPr>
              <w:jc w:val="center"/>
              <w:cnfStyle w:val="000000000000" w:firstRow="0" w:lastRow="0" w:firstColumn="0" w:lastColumn="0" w:oddVBand="0" w:evenVBand="0" w:oddHBand="0" w:evenHBand="0" w:firstRowFirstColumn="0" w:firstRowLastColumn="0" w:lastRowFirstColumn="0" w:lastRowLastColumn="0"/>
              <w:rPr>
                <w:color w:val="000000"/>
              </w:rPr>
            </w:pPr>
            <w:r>
              <w:rPr>
                <w:rFonts w:ascii="Calibri" w:hAnsi="Calibri" w:cs="Calibri"/>
                <w:color w:val="C00000"/>
                <w:sz w:val="22"/>
                <w:szCs w:val="22"/>
              </w:rPr>
              <w:t>-1,7 %</w:t>
            </w:r>
          </w:p>
        </w:tc>
        <w:tc>
          <w:tcPr>
            <w:tcW w:w="1559" w:type="dxa"/>
            <w:vAlign w:val="bottom"/>
          </w:tcPr>
          <w:p w14:paraId="17E533C7" w14:textId="008A1A9D" w:rsidR="00F1765A" w:rsidRPr="00596B6E" w:rsidRDefault="00F1765A" w:rsidP="00F1765A">
            <w:pPr>
              <w:jc w:val="center"/>
              <w:cnfStyle w:val="000000000000" w:firstRow="0" w:lastRow="0" w:firstColumn="0" w:lastColumn="0" w:oddVBand="0" w:evenVBand="0" w:oddHBand="0" w:evenHBand="0" w:firstRowFirstColumn="0" w:firstRowLastColumn="0" w:lastRowFirstColumn="0" w:lastRowLastColumn="0"/>
              <w:rPr>
                <w:color w:val="000000"/>
              </w:rPr>
            </w:pPr>
            <w:r>
              <w:rPr>
                <w:rFonts w:ascii="Calibri" w:hAnsi="Calibri" w:cs="Calibri"/>
                <w:color w:val="000000"/>
                <w:sz w:val="22"/>
                <w:szCs w:val="22"/>
              </w:rPr>
              <w:t>1,8 %</w:t>
            </w:r>
          </w:p>
        </w:tc>
        <w:tc>
          <w:tcPr>
            <w:tcW w:w="1559" w:type="dxa"/>
            <w:vAlign w:val="bottom"/>
          </w:tcPr>
          <w:p w14:paraId="4F002425" w14:textId="01204362" w:rsidR="00F1765A" w:rsidRPr="00596B6E" w:rsidRDefault="00F1765A" w:rsidP="00F1765A">
            <w:pPr>
              <w:jc w:val="center"/>
              <w:cnfStyle w:val="000000000000" w:firstRow="0" w:lastRow="0" w:firstColumn="0" w:lastColumn="0" w:oddVBand="0" w:evenVBand="0" w:oddHBand="0" w:evenHBand="0" w:firstRowFirstColumn="0" w:firstRowLastColumn="0" w:lastRowFirstColumn="0" w:lastRowLastColumn="0"/>
              <w:rPr>
                <w:color w:val="FF0000"/>
              </w:rPr>
            </w:pPr>
            <w:r>
              <w:rPr>
                <w:rFonts w:ascii="Calibri" w:hAnsi="Calibri" w:cs="Calibri"/>
                <w:color w:val="C00000"/>
                <w:sz w:val="22"/>
                <w:szCs w:val="22"/>
              </w:rPr>
              <w:t>-36,2%</w:t>
            </w:r>
          </w:p>
        </w:tc>
      </w:tr>
      <w:tr w:rsidR="00F1765A" w:rsidRPr="00544375" w14:paraId="437CC4A6" w14:textId="77777777" w:rsidTr="00914F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2C181270" w14:textId="083930B1" w:rsidR="00F1765A" w:rsidRPr="00596B6E" w:rsidRDefault="00F1765A" w:rsidP="00F1765A">
            <w:pPr>
              <w:jc w:val="right"/>
              <w:rPr>
                <w:rFonts w:ascii="Calibri" w:hAnsi="Calibri"/>
              </w:rPr>
            </w:pPr>
            <w:r w:rsidRPr="00F1765A">
              <w:rPr>
                <w:rFonts w:ascii="Calibri" w:hAnsi="Calibri"/>
              </w:rPr>
              <w:t>La Rioja</w:t>
            </w:r>
          </w:p>
        </w:tc>
        <w:tc>
          <w:tcPr>
            <w:tcW w:w="1701" w:type="dxa"/>
            <w:vAlign w:val="bottom"/>
          </w:tcPr>
          <w:p w14:paraId="328822B6" w14:textId="248BD80D" w:rsidR="00F1765A" w:rsidRPr="00596B6E" w:rsidRDefault="00F1765A" w:rsidP="00F1765A">
            <w:pPr>
              <w:jc w:val="center"/>
              <w:cnfStyle w:val="000000100000" w:firstRow="0" w:lastRow="0" w:firstColumn="0" w:lastColumn="0" w:oddVBand="0" w:evenVBand="0" w:oddHBand="1" w:evenHBand="0" w:firstRowFirstColumn="0" w:firstRowLastColumn="0" w:lastRowFirstColumn="0" w:lastRowLastColumn="0"/>
              <w:rPr>
                <w:color w:val="000000"/>
              </w:rPr>
            </w:pPr>
            <w:r>
              <w:rPr>
                <w:rFonts w:ascii="Calibri" w:hAnsi="Calibri" w:cs="Calibri"/>
                <w:color w:val="000000"/>
                <w:sz w:val="22"/>
                <w:szCs w:val="22"/>
              </w:rPr>
              <w:t>1.405 €</w:t>
            </w:r>
          </w:p>
        </w:tc>
        <w:tc>
          <w:tcPr>
            <w:tcW w:w="1701" w:type="dxa"/>
            <w:vAlign w:val="bottom"/>
          </w:tcPr>
          <w:p w14:paraId="2BA879A8" w14:textId="7B956189" w:rsidR="00F1765A" w:rsidRPr="00596B6E" w:rsidRDefault="00F1765A" w:rsidP="00F1765A">
            <w:pPr>
              <w:jc w:val="center"/>
              <w:cnfStyle w:val="000000100000" w:firstRow="0" w:lastRow="0" w:firstColumn="0" w:lastColumn="0" w:oddVBand="0" w:evenVBand="0" w:oddHBand="1" w:evenHBand="0" w:firstRowFirstColumn="0" w:firstRowLastColumn="0" w:lastRowFirstColumn="0" w:lastRowLastColumn="0"/>
              <w:rPr>
                <w:color w:val="FF0000"/>
              </w:rPr>
            </w:pPr>
            <w:r>
              <w:rPr>
                <w:rFonts w:ascii="Calibri" w:hAnsi="Calibri" w:cs="Calibri"/>
                <w:color w:val="000000"/>
                <w:sz w:val="22"/>
                <w:szCs w:val="22"/>
              </w:rPr>
              <w:t>0,2 %</w:t>
            </w:r>
          </w:p>
        </w:tc>
        <w:tc>
          <w:tcPr>
            <w:tcW w:w="1559" w:type="dxa"/>
            <w:vAlign w:val="bottom"/>
          </w:tcPr>
          <w:p w14:paraId="794FFE31" w14:textId="2046869A" w:rsidR="00F1765A" w:rsidRPr="00596B6E" w:rsidRDefault="00F1765A" w:rsidP="00F1765A">
            <w:pPr>
              <w:jc w:val="center"/>
              <w:cnfStyle w:val="000000100000" w:firstRow="0" w:lastRow="0" w:firstColumn="0" w:lastColumn="0" w:oddVBand="0" w:evenVBand="0" w:oddHBand="1" w:evenHBand="0" w:firstRowFirstColumn="0" w:firstRowLastColumn="0" w:lastRowFirstColumn="0" w:lastRowLastColumn="0"/>
              <w:rPr>
                <w:color w:val="000000"/>
              </w:rPr>
            </w:pPr>
            <w:r>
              <w:rPr>
                <w:rFonts w:ascii="Calibri" w:hAnsi="Calibri" w:cs="Calibri"/>
                <w:color w:val="000000"/>
                <w:sz w:val="22"/>
                <w:szCs w:val="22"/>
              </w:rPr>
              <w:t>2,5 %</w:t>
            </w:r>
          </w:p>
        </w:tc>
        <w:tc>
          <w:tcPr>
            <w:tcW w:w="1559" w:type="dxa"/>
            <w:vAlign w:val="bottom"/>
          </w:tcPr>
          <w:p w14:paraId="0CD787AE" w14:textId="367A77B0" w:rsidR="00F1765A" w:rsidRPr="00596B6E" w:rsidRDefault="00F1765A" w:rsidP="00F1765A">
            <w:pPr>
              <w:jc w:val="center"/>
              <w:cnfStyle w:val="000000100000" w:firstRow="0" w:lastRow="0" w:firstColumn="0" w:lastColumn="0" w:oddVBand="0" w:evenVBand="0" w:oddHBand="1" w:evenHBand="0" w:firstRowFirstColumn="0" w:firstRowLastColumn="0" w:lastRowFirstColumn="0" w:lastRowLastColumn="0"/>
              <w:rPr>
                <w:color w:val="FF0000"/>
              </w:rPr>
            </w:pPr>
            <w:r>
              <w:rPr>
                <w:rFonts w:ascii="Calibri" w:hAnsi="Calibri" w:cs="Calibri"/>
                <w:color w:val="C00000"/>
                <w:sz w:val="22"/>
                <w:szCs w:val="22"/>
              </w:rPr>
              <w:t>-52,7%</w:t>
            </w:r>
          </w:p>
        </w:tc>
      </w:tr>
      <w:tr w:rsidR="00F1765A" w:rsidRPr="00544375" w14:paraId="35B7F319" w14:textId="77777777" w:rsidTr="00914F28">
        <w:tc>
          <w:tcPr>
            <w:cnfStyle w:val="001000000000" w:firstRow="0" w:lastRow="0" w:firstColumn="1" w:lastColumn="0" w:oddVBand="0" w:evenVBand="0" w:oddHBand="0" w:evenHBand="0" w:firstRowFirstColumn="0" w:firstRowLastColumn="0" w:lastRowFirstColumn="0" w:lastRowLastColumn="0"/>
            <w:tcW w:w="2552" w:type="dxa"/>
            <w:vAlign w:val="bottom"/>
          </w:tcPr>
          <w:p w14:paraId="2490F51D" w14:textId="45CD04C5" w:rsidR="00F1765A" w:rsidRPr="00596B6E" w:rsidRDefault="00F1765A" w:rsidP="00F1765A">
            <w:pPr>
              <w:jc w:val="right"/>
              <w:rPr>
                <w:rFonts w:ascii="Calibri" w:hAnsi="Calibri"/>
              </w:rPr>
            </w:pPr>
            <w:proofErr w:type="spellStart"/>
            <w:r w:rsidRPr="00F1765A">
              <w:rPr>
                <w:rFonts w:ascii="Calibri" w:hAnsi="Calibri"/>
              </w:rPr>
              <w:t>Comunitat</w:t>
            </w:r>
            <w:proofErr w:type="spellEnd"/>
            <w:r w:rsidRPr="00F1765A">
              <w:rPr>
                <w:rFonts w:ascii="Calibri" w:hAnsi="Calibri"/>
              </w:rPr>
              <w:t xml:space="preserve"> Valenciana</w:t>
            </w:r>
          </w:p>
        </w:tc>
        <w:tc>
          <w:tcPr>
            <w:tcW w:w="1701" w:type="dxa"/>
            <w:vAlign w:val="bottom"/>
          </w:tcPr>
          <w:p w14:paraId="68182715" w14:textId="37C4B45E" w:rsidR="00F1765A" w:rsidRPr="00596B6E" w:rsidRDefault="00F1765A" w:rsidP="00F1765A">
            <w:pPr>
              <w:jc w:val="center"/>
              <w:cnfStyle w:val="000000000000" w:firstRow="0" w:lastRow="0" w:firstColumn="0" w:lastColumn="0" w:oddVBand="0" w:evenVBand="0" w:oddHBand="0" w:evenHBand="0" w:firstRowFirstColumn="0" w:firstRowLastColumn="0" w:lastRowFirstColumn="0" w:lastRowLastColumn="0"/>
              <w:rPr>
                <w:color w:val="000000"/>
              </w:rPr>
            </w:pPr>
            <w:r>
              <w:rPr>
                <w:rFonts w:ascii="Calibri" w:hAnsi="Calibri" w:cs="Calibri"/>
                <w:color w:val="000000"/>
                <w:sz w:val="22"/>
                <w:szCs w:val="22"/>
              </w:rPr>
              <w:t>1.392 €</w:t>
            </w:r>
          </w:p>
        </w:tc>
        <w:tc>
          <w:tcPr>
            <w:tcW w:w="1701" w:type="dxa"/>
            <w:vAlign w:val="bottom"/>
          </w:tcPr>
          <w:p w14:paraId="01A050C3" w14:textId="1D1FFAEF" w:rsidR="00F1765A" w:rsidRPr="00596B6E" w:rsidRDefault="00F1765A" w:rsidP="00F1765A">
            <w:pPr>
              <w:jc w:val="center"/>
              <w:cnfStyle w:val="000000000000" w:firstRow="0" w:lastRow="0" w:firstColumn="0" w:lastColumn="0" w:oddVBand="0" w:evenVBand="0" w:oddHBand="0" w:evenHBand="0" w:firstRowFirstColumn="0" w:firstRowLastColumn="0" w:lastRowFirstColumn="0" w:lastRowLastColumn="0"/>
              <w:rPr>
                <w:color w:val="FF0000"/>
              </w:rPr>
            </w:pPr>
            <w:r>
              <w:rPr>
                <w:rFonts w:ascii="Calibri" w:hAnsi="Calibri" w:cs="Calibri"/>
                <w:color w:val="C00000"/>
                <w:sz w:val="22"/>
                <w:szCs w:val="22"/>
              </w:rPr>
              <w:t>-1,2 %</w:t>
            </w:r>
          </w:p>
        </w:tc>
        <w:tc>
          <w:tcPr>
            <w:tcW w:w="1559" w:type="dxa"/>
            <w:vAlign w:val="bottom"/>
          </w:tcPr>
          <w:p w14:paraId="7E46ED2D" w14:textId="2977BBF5" w:rsidR="00F1765A" w:rsidRPr="00596B6E" w:rsidRDefault="00F1765A" w:rsidP="00F1765A">
            <w:pPr>
              <w:jc w:val="center"/>
              <w:cnfStyle w:val="000000000000" w:firstRow="0" w:lastRow="0" w:firstColumn="0" w:lastColumn="0" w:oddVBand="0" w:evenVBand="0" w:oddHBand="0" w:evenHBand="0" w:firstRowFirstColumn="0" w:firstRowLastColumn="0" w:lastRowFirstColumn="0" w:lastRowLastColumn="0"/>
              <w:rPr>
                <w:color w:val="000000"/>
              </w:rPr>
            </w:pPr>
            <w:r>
              <w:rPr>
                <w:rFonts w:ascii="Calibri" w:hAnsi="Calibri" w:cs="Calibri"/>
                <w:color w:val="000000"/>
                <w:sz w:val="22"/>
                <w:szCs w:val="22"/>
              </w:rPr>
              <w:t>7,2 %</w:t>
            </w:r>
          </w:p>
        </w:tc>
        <w:tc>
          <w:tcPr>
            <w:tcW w:w="1559" w:type="dxa"/>
            <w:vAlign w:val="bottom"/>
          </w:tcPr>
          <w:p w14:paraId="0205DB3A" w14:textId="438C8BD8" w:rsidR="00F1765A" w:rsidRPr="00596B6E" w:rsidRDefault="00F1765A" w:rsidP="00F1765A">
            <w:pPr>
              <w:jc w:val="center"/>
              <w:cnfStyle w:val="000000000000" w:firstRow="0" w:lastRow="0" w:firstColumn="0" w:lastColumn="0" w:oddVBand="0" w:evenVBand="0" w:oddHBand="0" w:evenHBand="0" w:firstRowFirstColumn="0" w:firstRowLastColumn="0" w:lastRowFirstColumn="0" w:lastRowLastColumn="0"/>
              <w:rPr>
                <w:color w:val="FF0000"/>
              </w:rPr>
            </w:pPr>
            <w:r>
              <w:rPr>
                <w:rFonts w:ascii="Calibri" w:hAnsi="Calibri" w:cs="Calibri"/>
                <w:color w:val="C00000"/>
                <w:sz w:val="22"/>
                <w:szCs w:val="22"/>
              </w:rPr>
              <w:t>-42,7%</w:t>
            </w:r>
          </w:p>
        </w:tc>
      </w:tr>
      <w:tr w:rsidR="00F1765A" w:rsidRPr="00544375" w14:paraId="0F65F6C2" w14:textId="77777777" w:rsidTr="00914F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6CF5D44F" w14:textId="6A02A8E4" w:rsidR="00F1765A" w:rsidRPr="00596B6E" w:rsidRDefault="00F1765A" w:rsidP="00F1765A">
            <w:pPr>
              <w:jc w:val="right"/>
              <w:rPr>
                <w:rFonts w:ascii="Calibri" w:hAnsi="Calibri"/>
              </w:rPr>
            </w:pPr>
            <w:r w:rsidRPr="00F1765A">
              <w:rPr>
                <w:rFonts w:ascii="Calibri" w:hAnsi="Calibri"/>
              </w:rPr>
              <w:t>Región de Murcia</w:t>
            </w:r>
          </w:p>
        </w:tc>
        <w:tc>
          <w:tcPr>
            <w:tcW w:w="1701" w:type="dxa"/>
            <w:vAlign w:val="bottom"/>
          </w:tcPr>
          <w:p w14:paraId="2DDEBD75" w14:textId="413B290C" w:rsidR="00F1765A" w:rsidRPr="00596B6E" w:rsidRDefault="00F1765A" w:rsidP="00F1765A">
            <w:pPr>
              <w:jc w:val="center"/>
              <w:cnfStyle w:val="000000100000" w:firstRow="0" w:lastRow="0" w:firstColumn="0" w:lastColumn="0" w:oddVBand="0" w:evenVBand="0" w:oddHBand="1" w:evenHBand="0" w:firstRowFirstColumn="0" w:firstRowLastColumn="0" w:lastRowFirstColumn="0" w:lastRowLastColumn="0"/>
              <w:rPr>
                <w:color w:val="000000"/>
              </w:rPr>
            </w:pPr>
            <w:r>
              <w:rPr>
                <w:rFonts w:ascii="Calibri" w:hAnsi="Calibri" w:cs="Calibri"/>
                <w:color w:val="000000"/>
                <w:sz w:val="22"/>
                <w:szCs w:val="22"/>
              </w:rPr>
              <w:t>1.145 €</w:t>
            </w:r>
          </w:p>
        </w:tc>
        <w:tc>
          <w:tcPr>
            <w:tcW w:w="1701" w:type="dxa"/>
            <w:vAlign w:val="bottom"/>
          </w:tcPr>
          <w:p w14:paraId="5516F490" w14:textId="32E30CC5" w:rsidR="00F1765A" w:rsidRPr="00596B6E" w:rsidRDefault="00F1765A" w:rsidP="00F1765A">
            <w:pPr>
              <w:jc w:val="center"/>
              <w:cnfStyle w:val="000000100000" w:firstRow="0" w:lastRow="0" w:firstColumn="0" w:lastColumn="0" w:oddVBand="0" w:evenVBand="0" w:oddHBand="1" w:evenHBand="0" w:firstRowFirstColumn="0" w:firstRowLastColumn="0" w:lastRowFirstColumn="0" w:lastRowLastColumn="0"/>
              <w:rPr>
                <w:color w:val="000000"/>
              </w:rPr>
            </w:pPr>
            <w:r>
              <w:rPr>
                <w:rFonts w:ascii="Calibri" w:hAnsi="Calibri" w:cs="Calibri"/>
                <w:color w:val="C00000"/>
                <w:sz w:val="22"/>
                <w:szCs w:val="22"/>
              </w:rPr>
              <w:t>-1,6 %</w:t>
            </w:r>
          </w:p>
        </w:tc>
        <w:tc>
          <w:tcPr>
            <w:tcW w:w="1559" w:type="dxa"/>
            <w:vAlign w:val="bottom"/>
          </w:tcPr>
          <w:p w14:paraId="6CB127F4" w14:textId="50E45009" w:rsidR="00F1765A" w:rsidRPr="00596B6E" w:rsidRDefault="00F1765A" w:rsidP="00F1765A">
            <w:pPr>
              <w:jc w:val="center"/>
              <w:cnfStyle w:val="000000100000" w:firstRow="0" w:lastRow="0" w:firstColumn="0" w:lastColumn="0" w:oddVBand="0" w:evenVBand="0" w:oddHBand="1" w:evenHBand="0" w:firstRowFirstColumn="0" w:firstRowLastColumn="0" w:lastRowFirstColumn="0" w:lastRowLastColumn="0"/>
              <w:rPr>
                <w:color w:val="000000"/>
              </w:rPr>
            </w:pPr>
            <w:r>
              <w:rPr>
                <w:rFonts w:ascii="Calibri" w:hAnsi="Calibri" w:cs="Calibri"/>
                <w:color w:val="C00000"/>
                <w:sz w:val="22"/>
                <w:szCs w:val="22"/>
              </w:rPr>
              <w:t>-0,6 %</w:t>
            </w:r>
          </w:p>
        </w:tc>
        <w:tc>
          <w:tcPr>
            <w:tcW w:w="1559" w:type="dxa"/>
            <w:vAlign w:val="bottom"/>
          </w:tcPr>
          <w:p w14:paraId="6356AE34" w14:textId="33049568" w:rsidR="00F1765A" w:rsidRPr="00596B6E" w:rsidRDefault="00F1765A" w:rsidP="00F1765A">
            <w:pPr>
              <w:jc w:val="center"/>
              <w:cnfStyle w:val="000000100000" w:firstRow="0" w:lastRow="0" w:firstColumn="0" w:lastColumn="0" w:oddVBand="0" w:evenVBand="0" w:oddHBand="1" w:evenHBand="0" w:firstRowFirstColumn="0" w:firstRowLastColumn="0" w:lastRowFirstColumn="0" w:lastRowLastColumn="0"/>
              <w:rPr>
                <w:color w:val="FF0000"/>
              </w:rPr>
            </w:pPr>
            <w:r>
              <w:rPr>
                <w:rFonts w:ascii="Calibri" w:hAnsi="Calibri" w:cs="Calibri"/>
                <w:color w:val="C00000"/>
                <w:sz w:val="22"/>
                <w:szCs w:val="22"/>
              </w:rPr>
              <w:t>-50,2%</w:t>
            </w:r>
          </w:p>
        </w:tc>
      </w:tr>
      <w:tr w:rsidR="00F1765A" w:rsidRPr="00544375" w14:paraId="65F50E46" w14:textId="77777777" w:rsidTr="00914F28">
        <w:tc>
          <w:tcPr>
            <w:cnfStyle w:val="001000000000" w:firstRow="0" w:lastRow="0" w:firstColumn="1" w:lastColumn="0" w:oddVBand="0" w:evenVBand="0" w:oddHBand="0" w:evenHBand="0" w:firstRowFirstColumn="0" w:firstRowLastColumn="0" w:lastRowFirstColumn="0" w:lastRowLastColumn="0"/>
            <w:tcW w:w="2552" w:type="dxa"/>
            <w:vAlign w:val="bottom"/>
          </w:tcPr>
          <w:p w14:paraId="55B8193D" w14:textId="0210155B" w:rsidR="00F1765A" w:rsidRPr="00596B6E" w:rsidRDefault="00F1765A" w:rsidP="00F1765A">
            <w:pPr>
              <w:jc w:val="right"/>
              <w:rPr>
                <w:rFonts w:ascii="Calibri" w:hAnsi="Calibri"/>
              </w:rPr>
            </w:pPr>
            <w:r w:rsidRPr="00F1765A">
              <w:rPr>
                <w:rFonts w:ascii="Calibri" w:hAnsi="Calibri"/>
              </w:rPr>
              <w:t>Castilla-La Mancha</w:t>
            </w:r>
          </w:p>
        </w:tc>
        <w:tc>
          <w:tcPr>
            <w:tcW w:w="1701" w:type="dxa"/>
            <w:vAlign w:val="bottom"/>
          </w:tcPr>
          <w:p w14:paraId="12AD0BCF" w14:textId="19D3DD68" w:rsidR="00F1765A" w:rsidRPr="00596B6E" w:rsidRDefault="00F1765A" w:rsidP="00F1765A">
            <w:pPr>
              <w:jc w:val="center"/>
              <w:cnfStyle w:val="000000000000" w:firstRow="0" w:lastRow="0" w:firstColumn="0" w:lastColumn="0" w:oddVBand="0" w:evenVBand="0" w:oddHBand="0" w:evenHBand="0" w:firstRowFirstColumn="0" w:firstRowLastColumn="0" w:lastRowFirstColumn="0" w:lastRowLastColumn="0"/>
              <w:rPr>
                <w:color w:val="000000"/>
              </w:rPr>
            </w:pPr>
            <w:r>
              <w:rPr>
                <w:rFonts w:ascii="Calibri" w:hAnsi="Calibri" w:cs="Calibri"/>
                <w:color w:val="000000"/>
                <w:sz w:val="22"/>
                <w:szCs w:val="22"/>
              </w:rPr>
              <w:t>1.124 €</w:t>
            </w:r>
          </w:p>
        </w:tc>
        <w:tc>
          <w:tcPr>
            <w:tcW w:w="1701" w:type="dxa"/>
            <w:vAlign w:val="bottom"/>
          </w:tcPr>
          <w:p w14:paraId="13AAC517" w14:textId="4A17A956" w:rsidR="00F1765A" w:rsidRPr="00596B6E" w:rsidRDefault="00F1765A" w:rsidP="00F1765A">
            <w:pPr>
              <w:jc w:val="center"/>
              <w:cnfStyle w:val="000000000000" w:firstRow="0" w:lastRow="0" w:firstColumn="0" w:lastColumn="0" w:oddVBand="0" w:evenVBand="0" w:oddHBand="0" w:evenHBand="0" w:firstRowFirstColumn="0" w:firstRowLastColumn="0" w:lastRowFirstColumn="0" w:lastRowLastColumn="0"/>
              <w:rPr>
                <w:color w:val="000000"/>
              </w:rPr>
            </w:pPr>
            <w:r>
              <w:rPr>
                <w:rFonts w:ascii="Calibri" w:hAnsi="Calibri" w:cs="Calibri"/>
                <w:color w:val="C00000"/>
                <w:sz w:val="22"/>
                <w:szCs w:val="22"/>
              </w:rPr>
              <w:t>-1,6 %</w:t>
            </w:r>
          </w:p>
        </w:tc>
        <w:tc>
          <w:tcPr>
            <w:tcW w:w="1559" w:type="dxa"/>
            <w:vAlign w:val="bottom"/>
          </w:tcPr>
          <w:p w14:paraId="1957C25F" w14:textId="4F7FBF6D" w:rsidR="00F1765A" w:rsidRPr="00596B6E" w:rsidRDefault="00F1765A" w:rsidP="00F1765A">
            <w:pPr>
              <w:jc w:val="center"/>
              <w:cnfStyle w:val="000000000000" w:firstRow="0" w:lastRow="0" w:firstColumn="0" w:lastColumn="0" w:oddVBand="0" w:evenVBand="0" w:oddHBand="0" w:evenHBand="0" w:firstRowFirstColumn="0" w:firstRowLastColumn="0" w:lastRowFirstColumn="0" w:lastRowLastColumn="0"/>
              <w:rPr>
                <w:color w:val="000000"/>
              </w:rPr>
            </w:pPr>
            <w:r>
              <w:rPr>
                <w:rFonts w:ascii="Calibri" w:hAnsi="Calibri" w:cs="Calibri"/>
                <w:color w:val="000000"/>
                <w:sz w:val="22"/>
                <w:szCs w:val="22"/>
              </w:rPr>
              <w:t>3,9 %</w:t>
            </w:r>
          </w:p>
        </w:tc>
        <w:tc>
          <w:tcPr>
            <w:tcW w:w="1559" w:type="dxa"/>
            <w:vAlign w:val="bottom"/>
          </w:tcPr>
          <w:p w14:paraId="56C88722" w14:textId="4506750B" w:rsidR="00F1765A" w:rsidRPr="00596B6E" w:rsidRDefault="00F1765A" w:rsidP="00F1765A">
            <w:pPr>
              <w:jc w:val="center"/>
              <w:cnfStyle w:val="000000000000" w:firstRow="0" w:lastRow="0" w:firstColumn="0" w:lastColumn="0" w:oddVBand="0" w:evenVBand="0" w:oddHBand="0" w:evenHBand="0" w:firstRowFirstColumn="0" w:firstRowLastColumn="0" w:lastRowFirstColumn="0" w:lastRowLastColumn="0"/>
              <w:rPr>
                <w:color w:val="FF0000"/>
              </w:rPr>
            </w:pPr>
            <w:r>
              <w:rPr>
                <w:rFonts w:ascii="Calibri" w:hAnsi="Calibri" w:cs="Calibri"/>
                <w:color w:val="C00000"/>
                <w:sz w:val="22"/>
                <w:szCs w:val="22"/>
              </w:rPr>
              <w:t>-49,2%</w:t>
            </w:r>
          </w:p>
        </w:tc>
      </w:tr>
      <w:tr w:rsidR="00F1765A" w:rsidRPr="00544375" w14:paraId="6367B53F" w14:textId="77777777" w:rsidTr="00914F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053174FE" w14:textId="03C96044" w:rsidR="00F1765A" w:rsidRPr="00596B6E" w:rsidRDefault="00F1765A" w:rsidP="00F1765A">
            <w:pPr>
              <w:jc w:val="right"/>
              <w:rPr>
                <w:rFonts w:ascii="Calibri" w:hAnsi="Calibri"/>
              </w:rPr>
            </w:pPr>
            <w:r w:rsidRPr="00F1765A">
              <w:rPr>
                <w:rFonts w:ascii="Calibri" w:hAnsi="Calibri"/>
              </w:rPr>
              <w:t>Extremadura</w:t>
            </w:r>
          </w:p>
        </w:tc>
        <w:tc>
          <w:tcPr>
            <w:tcW w:w="1701" w:type="dxa"/>
            <w:vAlign w:val="bottom"/>
          </w:tcPr>
          <w:p w14:paraId="5561D46B" w14:textId="3CFC70E8" w:rsidR="00F1765A" w:rsidRPr="00596B6E" w:rsidRDefault="00F1765A" w:rsidP="00F1765A">
            <w:pPr>
              <w:jc w:val="center"/>
              <w:cnfStyle w:val="000000100000" w:firstRow="0" w:lastRow="0" w:firstColumn="0" w:lastColumn="0" w:oddVBand="0" w:evenVBand="0" w:oddHBand="1" w:evenHBand="0" w:firstRowFirstColumn="0" w:firstRowLastColumn="0" w:lastRowFirstColumn="0" w:lastRowLastColumn="0"/>
              <w:rPr>
                <w:color w:val="FF0000"/>
              </w:rPr>
            </w:pPr>
            <w:r>
              <w:rPr>
                <w:rFonts w:ascii="Calibri" w:hAnsi="Calibri" w:cs="Calibri"/>
                <w:color w:val="000000"/>
                <w:sz w:val="22"/>
                <w:szCs w:val="22"/>
              </w:rPr>
              <w:t>1.098 €</w:t>
            </w:r>
          </w:p>
        </w:tc>
        <w:tc>
          <w:tcPr>
            <w:tcW w:w="1701" w:type="dxa"/>
            <w:vAlign w:val="bottom"/>
          </w:tcPr>
          <w:p w14:paraId="251EE3CA" w14:textId="7EED6706" w:rsidR="00F1765A" w:rsidRPr="00596B6E" w:rsidRDefault="00F1765A" w:rsidP="00F1765A">
            <w:pPr>
              <w:jc w:val="center"/>
              <w:cnfStyle w:val="000000100000" w:firstRow="0" w:lastRow="0" w:firstColumn="0" w:lastColumn="0" w:oddVBand="0" w:evenVBand="0" w:oddHBand="1" w:evenHBand="0" w:firstRowFirstColumn="0" w:firstRowLastColumn="0" w:lastRowFirstColumn="0" w:lastRowLastColumn="0"/>
              <w:rPr>
                <w:color w:val="FF0000"/>
              </w:rPr>
            </w:pPr>
            <w:r>
              <w:rPr>
                <w:rFonts w:ascii="Calibri" w:hAnsi="Calibri" w:cs="Calibri"/>
                <w:color w:val="C00000"/>
                <w:sz w:val="22"/>
                <w:szCs w:val="22"/>
              </w:rPr>
              <w:t>-0,9 %</w:t>
            </w:r>
          </w:p>
        </w:tc>
        <w:tc>
          <w:tcPr>
            <w:tcW w:w="1559" w:type="dxa"/>
            <w:vAlign w:val="bottom"/>
          </w:tcPr>
          <w:p w14:paraId="2D158AD6" w14:textId="073DD623" w:rsidR="00F1765A" w:rsidRPr="00596B6E" w:rsidRDefault="00F1765A" w:rsidP="00F1765A">
            <w:pPr>
              <w:jc w:val="center"/>
              <w:cnfStyle w:val="000000100000" w:firstRow="0" w:lastRow="0" w:firstColumn="0" w:lastColumn="0" w:oddVBand="0" w:evenVBand="0" w:oddHBand="1" w:evenHBand="0" w:firstRowFirstColumn="0" w:firstRowLastColumn="0" w:lastRowFirstColumn="0" w:lastRowLastColumn="0"/>
              <w:rPr>
                <w:color w:val="000000"/>
              </w:rPr>
            </w:pPr>
            <w:r>
              <w:rPr>
                <w:rFonts w:ascii="Calibri" w:hAnsi="Calibri" w:cs="Calibri"/>
                <w:color w:val="C00000"/>
                <w:sz w:val="22"/>
                <w:szCs w:val="22"/>
              </w:rPr>
              <w:t>-0,3 %</w:t>
            </w:r>
          </w:p>
        </w:tc>
        <w:tc>
          <w:tcPr>
            <w:tcW w:w="1559" w:type="dxa"/>
            <w:vAlign w:val="bottom"/>
          </w:tcPr>
          <w:p w14:paraId="2E7BEE0A" w14:textId="5A83E378" w:rsidR="00F1765A" w:rsidRPr="00596B6E" w:rsidRDefault="00F1765A" w:rsidP="00F1765A">
            <w:pPr>
              <w:jc w:val="center"/>
              <w:cnfStyle w:val="000000100000" w:firstRow="0" w:lastRow="0" w:firstColumn="0" w:lastColumn="0" w:oddVBand="0" w:evenVBand="0" w:oddHBand="1" w:evenHBand="0" w:firstRowFirstColumn="0" w:firstRowLastColumn="0" w:lastRowFirstColumn="0" w:lastRowLastColumn="0"/>
              <w:rPr>
                <w:color w:val="FF0000"/>
              </w:rPr>
            </w:pPr>
            <w:r>
              <w:rPr>
                <w:rFonts w:ascii="Calibri" w:hAnsi="Calibri" w:cs="Calibri"/>
                <w:color w:val="C00000"/>
                <w:sz w:val="22"/>
                <w:szCs w:val="22"/>
              </w:rPr>
              <w:t>-41,6%</w:t>
            </w:r>
          </w:p>
        </w:tc>
      </w:tr>
      <w:tr w:rsidR="00F1765A" w14:paraId="2906E501" w14:textId="77777777" w:rsidTr="00914F28">
        <w:tc>
          <w:tcPr>
            <w:cnfStyle w:val="001000000000" w:firstRow="0" w:lastRow="0" w:firstColumn="1" w:lastColumn="0" w:oddVBand="0" w:evenVBand="0" w:oddHBand="0" w:evenHBand="0" w:firstRowFirstColumn="0" w:firstRowLastColumn="0" w:lastRowFirstColumn="0" w:lastRowLastColumn="0"/>
            <w:tcW w:w="2552" w:type="dxa"/>
            <w:vAlign w:val="bottom"/>
          </w:tcPr>
          <w:p w14:paraId="1CA113E5" w14:textId="77777777" w:rsidR="00F1765A" w:rsidRPr="00051E18" w:rsidRDefault="00F1765A" w:rsidP="00F1765A">
            <w:pPr>
              <w:jc w:val="right"/>
              <w:rPr>
                <w:rFonts w:ascii="Calibri" w:hAnsi="Calibri"/>
              </w:rPr>
            </w:pPr>
            <w:r w:rsidRPr="00051E18">
              <w:rPr>
                <w:rFonts w:ascii="Calibri" w:hAnsi="Calibri"/>
              </w:rPr>
              <w:t>España</w:t>
            </w:r>
          </w:p>
        </w:tc>
        <w:tc>
          <w:tcPr>
            <w:tcW w:w="1701" w:type="dxa"/>
            <w:vAlign w:val="bottom"/>
          </w:tcPr>
          <w:p w14:paraId="6A850225" w14:textId="317B20F8" w:rsidR="00F1765A" w:rsidRPr="00596B6E" w:rsidRDefault="00F1765A" w:rsidP="00F1765A">
            <w:pPr>
              <w:jc w:val="center"/>
              <w:cnfStyle w:val="000000000000" w:firstRow="0" w:lastRow="0" w:firstColumn="0" w:lastColumn="0" w:oddVBand="0" w:evenVBand="0" w:oddHBand="0" w:evenHBand="0" w:firstRowFirstColumn="0" w:firstRowLastColumn="0" w:lastRowFirstColumn="0" w:lastRowLastColumn="0"/>
              <w:rPr>
                <w:color w:val="000000"/>
              </w:rPr>
            </w:pPr>
            <w:r w:rsidRPr="00596B6E">
              <w:rPr>
                <w:color w:val="000000"/>
              </w:rPr>
              <w:t>1.8</w:t>
            </w:r>
            <w:r>
              <w:rPr>
                <w:color w:val="000000"/>
              </w:rPr>
              <w:t>91 €</w:t>
            </w:r>
          </w:p>
        </w:tc>
        <w:tc>
          <w:tcPr>
            <w:tcW w:w="1701" w:type="dxa"/>
            <w:vAlign w:val="bottom"/>
          </w:tcPr>
          <w:p w14:paraId="0BB02A00" w14:textId="421D0F05" w:rsidR="00F1765A" w:rsidRPr="00596B6E" w:rsidRDefault="00F1765A" w:rsidP="00F1765A">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Pr="00596B6E">
              <w:rPr>
                <w:color w:val="000000"/>
              </w:rPr>
              <w:t>0,</w:t>
            </w:r>
            <w:r>
              <w:rPr>
                <w:color w:val="000000"/>
              </w:rPr>
              <w:t>5</w:t>
            </w:r>
            <w:r w:rsidRPr="00596B6E">
              <w:rPr>
                <w:color w:val="000000"/>
              </w:rPr>
              <w:t xml:space="preserve"> %</w:t>
            </w:r>
          </w:p>
        </w:tc>
        <w:tc>
          <w:tcPr>
            <w:tcW w:w="1559" w:type="dxa"/>
            <w:vAlign w:val="bottom"/>
          </w:tcPr>
          <w:p w14:paraId="0047EC57" w14:textId="51E6F7EF" w:rsidR="00F1765A" w:rsidRPr="00596B6E" w:rsidRDefault="00F1765A" w:rsidP="00F1765A">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7,1</w:t>
            </w:r>
            <w:r w:rsidRPr="00596B6E">
              <w:rPr>
                <w:color w:val="000000"/>
              </w:rPr>
              <w:t xml:space="preserve"> %</w:t>
            </w:r>
          </w:p>
        </w:tc>
        <w:tc>
          <w:tcPr>
            <w:tcW w:w="1559" w:type="dxa"/>
            <w:vAlign w:val="bottom"/>
          </w:tcPr>
          <w:p w14:paraId="62426AC5" w14:textId="58B0D1DD" w:rsidR="00F1765A" w:rsidRPr="00596B6E" w:rsidRDefault="00F1765A" w:rsidP="00F1765A">
            <w:pPr>
              <w:jc w:val="center"/>
              <w:cnfStyle w:val="000000000000" w:firstRow="0" w:lastRow="0" w:firstColumn="0" w:lastColumn="0" w:oddVBand="0" w:evenVBand="0" w:oddHBand="0" w:evenHBand="0" w:firstRowFirstColumn="0" w:firstRowLastColumn="0" w:lastRowFirstColumn="0" w:lastRowLastColumn="0"/>
              <w:rPr>
                <w:color w:val="FF0000"/>
              </w:rPr>
            </w:pPr>
            <w:r>
              <w:rPr>
                <w:rFonts w:ascii="Calibri" w:hAnsi="Calibri" w:cs="Calibri"/>
                <w:color w:val="C00000"/>
                <w:sz w:val="22"/>
                <w:szCs w:val="22"/>
              </w:rPr>
              <w:t>-35,9%</w:t>
            </w:r>
          </w:p>
        </w:tc>
      </w:tr>
    </w:tbl>
    <w:p w14:paraId="04991175" w14:textId="7923C58E" w:rsidR="00FF53CF" w:rsidRPr="00FF53CF" w:rsidRDefault="0036438E" w:rsidP="00FF53CF">
      <w:pPr>
        <w:spacing w:line="276" w:lineRule="auto"/>
        <w:ind w:right="-574"/>
        <w:rPr>
          <w:rFonts w:ascii="Open Sans Light" w:hAnsi="Open Sans Light" w:cs="Open Sans Light"/>
          <w:b/>
          <w:iCs/>
          <w:color w:val="303AB2"/>
          <w:sz w:val="28"/>
          <w:szCs w:val="22"/>
          <w:lang w:val="es-ES"/>
        </w:rPr>
      </w:pPr>
      <w:r>
        <w:rPr>
          <w:rFonts w:ascii="Open Sans Light" w:hAnsi="Open Sans Light" w:cs="Open Sans Light"/>
          <w:b/>
          <w:iCs/>
          <w:color w:val="303AB2"/>
          <w:sz w:val="28"/>
          <w:szCs w:val="22"/>
          <w:lang w:val="es-ES"/>
        </w:rPr>
        <w:lastRenderedPageBreak/>
        <w:t>39</w:t>
      </w:r>
      <w:r w:rsidR="00FF53CF" w:rsidRPr="00FF53CF">
        <w:rPr>
          <w:rFonts w:ascii="Open Sans Light" w:hAnsi="Open Sans Light" w:cs="Open Sans Light"/>
          <w:b/>
          <w:iCs/>
          <w:color w:val="303AB2"/>
          <w:sz w:val="28"/>
          <w:szCs w:val="22"/>
          <w:lang w:val="es-ES"/>
        </w:rPr>
        <w:t xml:space="preserve"> provincias </w:t>
      </w:r>
      <w:r w:rsidR="00D54067">
        <w:rPr>
          <w:rFonts w:ascii="Open Sans Light" w:hAnsi="Open Sans Light" w:cs="Open Sans Light"/>
          <w:b/>
          <w:iCs/>
          <w:color w:val="303AB2"/>
          <w:sz w:val="28"/>
          <w:szCs w:val="22"/>
          <w:lang w:val="es-ES"/>
        </w:rPr>
        <w:t>descienden</w:t>
      </w:r>
      <w:r w:rsidR="00FF53CF" w:rsidRPr="00FF53CF">
        <w:rPr>
          <w:rFonts w:ascii="Open Sans Light" w:hAnsi="Open Sans Light" w:cs="Open Sans Light"/>
          <w:b/>
          <w:iCs/>
          <w:color w:val="303AB2"/>
          <w:sz w:val="28"/>
          <w:szCs w:val="22"/>
          <w:lang w:val="es-ES"/>
        </w:rPr>
        <w:t xml:space="preserve"> el precio mensual</w:t>
      </w:r>
    </w:p>
    <w:p w14:paraId="6A19542D" w14:textId="21DB80F9" w:rsidR="00D54067" w:rsidRDefault="00FF53CF" w:rsidP="00FF53CF">
      <w:pPr>
        <w:pStyle w:val="NormalWeb"/>
        <w:shd w:val="clear" w:color="auto" w:fill="FFFFFF"/>
        <w:spacing w:after="225" w:line="276" w:lineRule="auto"/>
        <w:ind w:right="-574"/>
        <w:jc w:val="both"/>
        <w:rPr>
          <w:rFonts w:ascii="Open Sans" w:hAnsi="Open Sans" w:cs="Open Sans"/>
          <w:color w:val="000000"/>
        </w:rPr>
      </w:pPr>
      <w:r w:rsidRPr="00FF53CF">
        <w:rPr>
          <w:rFonts w:ascii="Open Sans" w:hAnsi="Open Sans" w:cs="Open Sans"/>
          <w:color w:val="000000"/>
        </w:rPr>
        <w:t xml:space="preserve">En cuanto a la evolución del precio de </w:t>
      </w:r>
      <w:r w:rsidR="00416100">
        <w:rPr>
          <w:rFonts w:ascii="Open Sans" w:hAnsi="Open Sans" w:cs="Open Sans"/>
          <w:color w:val="000000"/>
        </w:rPr>
        <w:t xml:space="preserve">la vivienda por provincias, en </w:t>
      </w:r>
      <w:r w:rsidR="00D54067">
        <w:rPr>
          <w:rFonts w:ascii="Open Sans" w:hAnsi="Open Sans" w:cs="Open Sans"/>
          <w:color w:val="000000"/>
        </w:rPr>
        <w:t>39</w:t>
      </w:r>
      <w:r w:rsidRPr="00FF53CF">
        <w:rPr>
          <w:rFonts w:ascii="Open Sans" w:hAnsi="Open Sans" w:cs="Open Sans"/>
          <w:color w:val="000000"/>
        </w:rPr>
        <w:t xml:space="preserve"> de ellas </w:t>
      </w:r>
      <w:r w:rsidR="00D54067">
        <w:rPr>
          <w:rFonts w:ascii="Open Sans" w:hAnsi="Open Sans" w:cs="Open Sans"/>
          <w:color w:val="000000"/>
        </w:rPr>
        <w:t xml:space="preserve">se registran descensos mensuales en el precio de la vivienda de segunda mano, con descensos que van del -3,6% en Ávila al -0,1% de Albacete. Por el contrario, siete provincias incrementan el precio en abril, con incrementos que van del 1% en Santa Cruz de Tenerife al 0,1% de Cantabria. </w:t>
      </w:r>
    </w:p>
    <w:p w14:paraId="740557D2" w14:textId="72A74773" w:rsidR="00D54067" w:rsidRDefault="00D54067" w:rsidP="00FF53CF">
      <w:pPr>
        <w:pStyle w:val="NormalWeb"/>
        <w:shd w:val="clear" w:color="auto" w:fill="FFFFFF"/>
        <w:spacing w:after="225" w:line="276" w:lineRule="auto"/>
        <w:ind w:right="-574"/>
        <w:jc w:val="both"/>
        <w:rPr>
          <w:rFonts w:ascii="Open Sans" w:hAnsi="Open Sans" w:cs="Open Sans"/>
          <w:color w:val="000000"/>
        </w:rPr>
      </w:pPr>
      <w:r>
        <w:rPr>
          <w:rFonts w:ascii="Open Sans" w:hAnsi="Open Sans" w:cs="Open Sans"/>
          <w:color w:val="000000"/>
        </w:rPr>
        <w:t xml:space="preserve">En cuanto a los precios de las provincias, Guipúzcoa sigue siendo la provincia más cara para comprar una vivienda de segunda mano, con un precio medio de 3.110 €/m2, seguido de Madrid (3.000 €/m2) y Barcelona (2.993 €/m2). </w:t>
      </w:r>
    </w:p>
    <w:p w14:paraId="3C07B53F" w14:textId="5D469D40" w:rsidR="00FF53CF" w:rsidRPr="00FF53CF" w:rsidRDefault="00FF53CF" w:rsidP="00FF53CF">
      <w:pPr>
        <w:pStyle w:val="NormalWeb"/>
        <w:shd w:val="clear" w:color="auto" w:fill="FFFFFF"/>
        <w:spacing w:after="225" w:line="276" w:lineRule="auto"/>
        <w:ind w:right="-574"/>
        <w:jc w:val="both"/>
        <w:rPr>
          <w:rFonts w:ascii="Open Sans" w:hAnsi="Open Sans" w:cs="Open Sans"/>
          <w:color w:val="000000"/>
        </w:rPr>
      </w:pPr>
      <w:r w:rsidRPr="00FF53CF">
        <w:rPr>
          <w:rFonts w:ascii="Open Sans" w:hAnsi="Open Sans" w:cs="Open Sans"/>
          <w:color w:val="000000"/>
        </w:rPr>
        <w:t xml:space="preserve">Del total de los </w:t>
      </w:r>
      <w:r w:rsidR="00321159">
        <w:rPr>
          <w:rFonts w:ascii="Open Sans" w:hAnsi="Open Sans" w:cs="Open Sans"/>
          <w:color w:val="000000"/>
        </w:rPr>
        <w:t>935</w:t>
      </w:r>
      <w:r w:rsidRPr="00FF53CF">
        <w:rPr>
          <w:rFonts w:ascii="Open Sans" w:hAnsi="Open Sans" w:cs="Open Sans"/>
          <w:color w:val="000000"/>
        </w:rPr>
        <w:t xml:space="preserve"> municipios de España analizados por </w:t>
      </w:r>
      <w:hyperlink r:id="rId12" w:history="1">
        <w:r w:rsidR="000C5473" w:rsidRPr="00B10769">
          <w:rPr>
            <w:rStyle w:val="Hipervnculo"/>
            <w:rFonts w:ascii="Open Sans" w:hAnsi="Open Sans" w:cs="Open Sans"/>
            <w:b/>
            <w:bCs/>
          </w:rPr>
          <w:t>Fotocasa</w:t>
        </w:r>
      </w:hyperlink>
      <w:r w:rsidRPr="00FF53CF">
        <w:rPr>
          <w:rFonts w:ascii="Open Sans" w:hAnsi="Open Sans" w:cs="Open Sans"/>
          <w:color w:val="000000"/>
        </w:rPr>
        <w:t xml:space="preserve">, en </w:t>
      </w:r>
      <w:r w:rsidR="00321159">
        <w:rPr>
          <w:rFonts w:ascii="Open Sans" w:hAnsi="Open Sans" w:cs="Open Sans"/>
          <w:color w:val="000000"/>
        </w:rPr>
        <w:t>477</w:t>
      </w:r>
      <w:r w:rsidRPr="00FF53CF">
        <w:rPr>
          <w:rFonts w:ascii="Open Sans" w:hAnsi="Open Sans" w:cs="Open Sans"/>
          <w:color w:val="000000"/>
        </w:rPr>
        <w:t xml:space="preserve"> municipios el precio de la vivienda </w:t>
      </w:r>
      <w:r w:rsidR="00321159">
        <w:rPr>
          <w:rFonts w:ascii="Open Sans" w:hAnsi="Open Sans" w:cs="Open Sans"/>
          <w:color w:val="000000"/>
        </w:rPr>
        <w:t>baja</w:t>
      </w:r>
      <w:r w:rsidRPr="00FF53CF">
        <w:rPr>
          <w:rFonts w:ascii="Open Sans" w:hAnsi="Open Sans" w:cs="Open Sans"/>
          <w:color w:val="000000"/>
        </w:rPr>
        <w:t xml:space="preserve"> en el mes de </w:t>
      </w:r>
      <w:r w:rsidR="00321159">
        <w:rPr>
          <w:rFonts w:ascii="Open Sans" w:hAnsi="Open Sans" w:cs="Open Sans"/>
          <w:color w:val="000000"/>
        </w:rPr>
        <w:t>abril</w:t>
      </w:r>
      <w:r w:rsidRPr="00FF53CF">
        <w:rPr>
          <w:rFonts w:ascii="Open Sans" w:hAnsi="Open Sans" w:cs="Open Sans"/>
          <w:color w:val="000000"/>
        </w:rPr>
        <w:t xml:space="preserve">, en </w:t>
      </w:r>
      <w:r w:rsidR="00321159">
        <w:rPr>
          <w:rFonts w:ascii="Open Sans" w:hAnsi="Open Sans" w:cs="Open Sans"/>
          <w:color w:val="000000"/>
        </w:rPr>
        <w:t>104</w:t>
      </w:r>
      <w:r w:rsidR="000C5473">
        <w:rPr>
          <w:rFonts w:ascii="Open Sans" w:hAnsi="Open Sans" w:cs="Open Sans"/>
          <w:color w:val="000000"/>
        </w:rPr>
        <w:t xml:space="preserve"> </w:t>
      </w:r>
      <w:r w:rsidRPr="00FF53CF">
        <w:rPr>
          <w:rFonts w:ascii="Open Sans" w:hAnsi="Open Sans" w:cs="Open Sans"/>
          <w:color w:val="000000"/>
        </w:rPr>
        <w:t xml:space="preserve">municipios los precios permanecen estables y en </w:t>
      </w:r>
      <w:r w:rsidR="00321159">
        <w:rPr>
          <w:rFonts w:ascii="Open Sans" w:hAnsi="Open Sans" w:cs="Open Sans"/>
          <w:color w:val="000000"/>
        </w:rPr>
        <w:t>354</w:t>
      </w:r>
      <w:r w:rsidRPr="00FF53CF">
        <w:rPr>
          <w:rFonts w:ascii="Open Sans" w:hAnsi="Open Sans" w:cs="Open Sans"/>
          <w:color w:val="000000"/>
        </w:rPr>
        <w:t xml:space="preserve"> se registran </w:t>
      </w:r>
      <w:r w:rsidR="00321159">
        <w:rPr>
          <w:rFonts w:ascii="Open Sans" w:hAnsi="Open Sans" w:cs="Open Sans"/>
          <w:color w:val="000000"/>
        </w:rPr>
        <w:t>incrementos</w:t>
      </w:r>
      <w:r w:rsidRPr="00FF53CF">
        <w:rPr>
          <w:rFonts w:ascii="Open Sans" w:hAnsi="Open Sans" w:cs="Open Sans"/>
          <w:color w:val="000000"/>
        </w:rPr>
        <w:t xml:space="preserve"> en el precio. </w:t>
      </w:r>
    </w:p>
    <w:p w14:paraId="0EC114B8" w14:textId="6B066082" w:rsidR="00831318" w:rsidRDefault="00FF53CF" w:rsidP="00FF53CF">
      <w:pPr>
        <w:pStyle w:val="NormalWeb"/>
        <w:shd w:val="clear" w:color="auto" w:fill="FFFFFF"/>
        <w:spacing w:after="225" w:line="276" w:lineRule="auto"/>
        <w:ind w:right="-574"/>
        <w:jc w:val="both"/>
        <w:rPr>
          <w:rFonts w:ascii="Open Sans" w:hAnsi="Open Sans" w:cs="Open Sans"/>
          <w:color w:val="000000"/>
        </w:rPr>
      </w:pPr>
      <w:r w:rsidRPr="00FF53CF">
        <w:rPr>
          <w:rFonts w:ascii="Open Sans" w:hAnsi="Open Sans" w:cs="Open Sans"/>
          <w:color w:val="000000"/>
        </w:rPr>
        <w:t>El municipio con el precio de la vivienda de segunda mano más elevado es Ibiza (</w:t>
      </w:r>
      <w:r w:rsidR="0042739B">
        <w:rPr>
          <w:rFonts w:ascii="Open Sans" w:hAnsi="Open Sans" w:cs="Open Sans"/>
          <w:color w:val="000000"/>
        </w:rPr>
        <w:t>5.</w:t>
      </w:r>
      <w:r w:rsidR="00321159">
        <w:rPr>
          <w:rFonts w:ascii="Open Sans" w:hAnsi="Open Sans" w:cs="Open Sans"/>
          <w:color w:val="000000"/>
        </w:rPr>
        <w:t>262</w:t>
      </w:r>
      <w:r w:rsidR="000C5473">
        <w:rPr>
          <w:rFonts w:ascii="Open Sans" w:hAnsi="Open Sans" w:cs="Open Sans"/>
          <w:color w:val="000000"/>
        </w:rPr>
        <w:t xml:space="preserve"> €/m2)</w:t>
      </w:r>
      <w:r w:rsidR="0042739B">
        <w:rPr>
          <w:rFonts w:ascii="Open Sans" w:hAnsi="Open Sans" w:cs="Open Sans"/>
          <w:color w:val="000000"/>
        </w:rPr>
        <w:t xml:space="preserve"> y es el </w:t>
      </w:r>
      <w:r w:rsidR="00321159">
        <w:rPr>
          <w:rFonts w:ascii="Open Sans" w:hAnsi="Open Sans" w:cs="Open Sans"/>
          <w:color w:val="000000"/>
        </w:rPr>
        <w:t xml:space="preserve">segundo </w:t>
      </w:r>
      <w:r w:rsidR="0042739B">
        <w:rPr>
          <w:rFonts w:ascii="Open Sans" w:hAnsi="Open Sans" w:cs="Open Sans"/>
          <w:color w:val="000000"/>
        </w:rPr>
        <w:t>municipio de España que supera los 5.000 €/m2</w:t>
      </w:r>
      <w:r w:rsidR="00321159">
        <w:rPr>
          <w:rFonts w:ascii="Open Sans" w:hAnsi="Open Sans" w:cs="Open Sans"/>
          <w:color w:val="000000"/>
        </w:rPr>
        <w:t xml:space="preserve"> junto con San Sebastián (5.016 €/m2). </w:t>
      </w:r>
      <w:r w:rsidR="000C5473">
        <w:rPr>
          <w:rFonts w:ascii="Open Sans" w:hAnsi="Open Sans" w:cs="Open Sans"/>
          <w:color w:val="000000"/>
        </w:rPr>
        <w:t xml:space="preserve">Por su parte, </w:t>
      </w:r>
      <w:proofErr w:type="spellStart"/>
      <w:r w:rsidR="00CC1ADE">
        <w:rPr>
          <w:rFonts w:ascii="Open Sans" w:hAnsi="Open Sans" w:cs="Open Sans"/>
          <w:color w:val="000000"/>
        </w:rPr>
        <w:t>Benicull</w:t>
      </w:r>
      <w:proofErr w:type="spellEnd"/>
      <w:r w:rsidR="00CC1ADE">
        <w:rPr>
          <w:rFonts w:ascii="Open Sans" w:hAnsi="Open Sans" w:cs="Open Sans"/>
          <w:color w:val="000000"/>
        </w:rPr>
        <w:t xml:space="preserve"> de Xúquer</w:t>
      </w:r>
      <w:r w:rsidRPr="00FF53CF">
        <w:rPr>
          <w:rFonts w:ascii="Open Sans" w:hAnsi="Open Sans" w:cs="Open Sans"/>
          <w:color w:val="000000"/>
        </w:rPr>
        <w:t xml:space="preserve">, en </w:t>
      </w:r>
      <w:r w:rsidR="00CC1ADE">
        <w:rPr>
          <w:rFonts w:ascii="Open Sans" w:hAnsi="Open Sans" w:cs="Open Sans"/>
          <w:color w:val="000000"/>
        </w:rPr>
        <w:t>Valencia</w:t>
      </w:r>
      <w:r w:rsidR="000C5473">
        <w:rPr>
          <w:rFonts w:ascii="Open Sans" w:hAnsi="Open Sans" w:cs="Open Sans"/>
          <w:color w:val="000000"/>
        </w:rPr>
        <w:t>,</w:t>
      </w:r>
      <w:r w:rsidRPr="00FF53CF">
        <w:rPr>
          <w:rFonts w:ascii="Open Sans" w:hAnsi="Open Sans" w:cs="Open Sans"/>
          <w:color w:val="000000"/>
        </w:rPr>
        <w:t xml:space="preserve"> es la población española más barata, con un precio medio de </w:t>
      </w:r>
      <w:r w:rsidR="00CC1ADE">
        <w:rPr>
          <w:rFonts w:ascii="Open Sans" w:hAnsi="Open Sans" w:cs="Open Sans"/>
          <w:color w:val="000000"/>
        </w:rPr>
        <w:t>564</w:t>
      </w:r>
      <w:r w:rsidR="00AF4D43">
        <w:rPr>
          <w:rFonts w:ascii="Open Sans" w:hAnsi="Open Sans" w:cs="Open Sans"/>
          <w:color w:val="000000"/>
        </w:rPr>
        <w:t xml:space="preserve"> </w:t>
      </w:r>
      <w:r w:rsidRPr="00FF53CF">
        <w:rPr>
          <w:rFonts w:ascii="Open Sans" w:hAnsi="Open Sans" w:cs="Open Sans"/>
          <w:color w:val="000000"/>
        </w:rPr>
        <w:t>€/m2.</w:t>
      </w:r>
    </w:p>
    <w:p w14:paraId="03D6B6CC" w14:textId="21403165" w:rsidR="00FF53CF" w:rsidRPr="00831318" w:rsidRDefault="00FF53CF" w:rsidP="00FF53CF">
      <w:pPr>
        <w:spacing w:line="276" w:lineRule="auto"/>
        <w:ind w:right="-574"/>
        <w:rPr>
          <w:rFonts w:ascii="Open Sans Light" w:hAnsi="Open Sans Light" w:cs="Open Sans Light"/>
          <w:b/>
          <w:iCs/>
          <w:color w:val="303AB2"/>
          <w:sz w:val="26"/>
          <w:szCs w:val="26"/>
          <w:lang w:val="es-ES"/>
        </w:rPr>
      </w:pPr>
      <w:r w:rsidRPr="00831318">
        <w:rPr>
          <w:rFonts w:ascii="Open Sans Light" w:hAnsi="Open Sans Light" w:cs="Open Sans Light"/>
          <w:b/>
          <w:iCs/>
          <w:color w:val="303AB2"/>
          <w:sz w:val="26"/>
          <w:szCs w:val="26"/>
          <w:lang w:val="es-ES"/>
        </w:rPr>
        <w:t>Incrementa el precio en 1</w:t>
      </w:r>
      <w:r w:rsidR="009D775E">
        <w:rPr>
          <w:rFonts w:ascii="Open Sans Light" w:hAnsi="Open Sans Light" w:cs="Open Sans Light"/>
          <w:b/>
          <w:iCs/>
          <w:color w:val="303AB2"/>
          <w:sz w:val="26"/>
          <w:szCs w:val="26"/>
          <w:lang w:val="es-ES"/>
        </w:rPr>
        <w:t>5</w:t>
      </w:r>
      <w:r w:rsidRPr="00831318">
        <w:rPr>
          <w:rFonts w:ascii="Open Sans Light" w:hAnsi="Open Sans Light" w:cs="Open Sans Light"/>
          <w:b/>
          <w:iCs/>
          <w:color w:val="303AB2"/>
          <w:sz w:val="26"/>
          <w:szCs w:val="26"/>
          <w:lang w:val="es-ES"/>
        </w:rPr>
        <w:t xml:space="preserve"> distritos de Madrid y en </w:t>
      </w:r>
      <w:r w:rsidR="005471B1">
        <w:rPr>
          <w:rFonts w:ascii="Open Sans Light" w:hAnsi="Open Sans Light" w:cs="Open Sans Light"/>
          <w:b/>
          <w:iCs/>
          <w:color w:val="303AB2"/>
          <w:sz w:val="26"/>
          <w:szCs w:val="26"/>
          <w:lang w:val="es-ES"/>
        </w:rPr>
        <w:t>siete</w:t>
      </w:r>
      <w:r w:rsidRPr="00831318">
        <w:rPr>
          <w:rFonts w:ascii="Open Sans Light" w:hAnsi="Open Sans Light" w:cs="Open Sans Light"/>
          <w:b/>
          <w:iCs/>
          <w:color w:val="303AB2"/>
          <w:sz w:val="26"/>
          <w:szCs w:val="26"/>
          <w:lang w:val="es-ES"/>
        </w:rPr>
        <w:t xml:space="preserve"> de Barcelona</w:t>
      </w:r>
    </w:p>
    <w:p w14:paraId="6A9EAD59" w14:textId="2AEA75F0" w:rsidR="005471B1" w:rsidRDefault="005471B1" w:rsidP="005471B1">
      <w:pPr>
        <w:pStyle w:val="NormalWeb"/>
        <w:shd w:val="clear" w:color="auto" w:fill="FFFFFF"/>
        <w:spacing w:after="225" w:line="276" w:lineRule="auto"/>
        <w:ind w:right="-574"/>
        <w:jc w:val="both"/>
        <w:rPr>
          <w:rFonts w:ascii="Open Sans" w:hAnsi="Open Sans" w:cs="Open Sans"/>
          <w:color w:val="000000"/>
        </w:rPr>
      </w:pPr>
      <w:r>
        <w:rPr>
          <w:rFonts w:ascii="Open Sans" w:hAnsi="Open Sans" w:cs="Open Sans"/>
          <w:color w:val="000000"/>
        </w:rPr>
        <w:t xml:space="preserve">En </w:t>
      </w:r>
      <w:r w:rsidRPr="005471B1">
        <w:rPr>
          <w:rFonts w:ascii="Open Sans" w:hAnsi="Open Sans" w:cs="Open Sans"/>
          <w:b/>
          <w:color w:val="000000"/>
        </w:rPr>
        <w:t>la ciudad de Madrid</w:t>
      </w:r>
      <w:r>
        <w:rPr>
          <w:rFonts w:ascii="Open Sans" w:hAnsi="Open Sans" w:cs="Open Sans"/>
          <w:color w:val="000000"/>
        </w:rPr>
        <w:t>, 15</w:t>
      </w:r>
      <w:r w:rsidRPr="00395FE0">
        <w:rPr>
          <w:rFonts w:ascii="Open Sans" w:hAnsi="Open Sans" w:cs="Open Sans"/>
          <w:color w:val="000000"/>
        </w:rPr>
        <w:t xml:space="preserve"> de los </w:t>
      </w:r>
      <w:r>
        <w:rPr>
          <w:rFonts w:ascii="Open Sans" w:hAnsi="Open Sans" w:cs="Open Sans"/>
          <w:color w:val="000000"/>
        </w:rPr>
        <w:t>21</w:t>
      </w:r>
      <w:r w:rsidRPr="00395FE0">
        <w:rPr>
          <w:rFonts w:ascii="Open Sans" w:hAnsi="Open Sans" w:cs="Open Sans"/>
          <w:color w:val="000000"/>
        </w:rPr>
        <w:t xml:space="preserve"> distritos analizados por </w:t>
      </w:r>
      <w:hyperlink r:id="rId13" w:history="1">
        <w:r w:rsidRPr="00B10769">
          <w:rPr>
            <w:rStyle w:val="Hipervnculo"/>
            <w:rFonts w:ascii="Open Sans" w:hAnsi="Open Sans" w:cs="Open Sans"/>
            <w:b/>
            <w:bCs/>
          </w:rPr>
          <w:t>Fotocasa</w:t>
        </w:r>
      </w:hyperlink>
      <w:r w:rsidRPr="00395FE0">
        <w:rPr>
          <w:rFonts w:ascii="Open Sans" w:hAnsi="Open Sans" w:cs="Open Sans"/>
          <w:color w:val="000000"/>
        </w:rPr>
        <w:t xml:space="preserve"> </w:t>
      </w:r>
      <w:r>
        <w:rPr>
          <w:rFonts w:ascii="Open Sans" w:hAnsi="Open Sans" w:cs="Open Sans"/>
          <w:color w:val="000000"/>
        </w:rPr>
        <w:t>suben</w:t>
      </w:r>
      <w:r w:rsidRPr="00395FE0">
        <w:rPr>
          <w:rFonts w:ascii="Open Sans" w:hAnsi="Open Sans" w:cs="Open Sans"/>
          <w:color w:val="000000"/>
        </w:rPr>
        <w:t xml:space="preserve"> el precio</w:t>
      </w:r>
      <w:r>
        <w:rPr>
          <w:rFonts w:ascii="Open Sans" w:hAnsi="Open Sans" w:cs="Open Sans"/>
          <w:color w:val="000000"/>
        </w:rPr>
        <w:t xml:space="preserve"> mensual en el mes de abril.</w:t>
      </w:r>
      <w:r w:rsidRPr="00395FE0">
        <w:rPr>
          <w:rFonts w:ascii="Open Sans" w:hAnsi="Open Sans" w:cs="Open Sans"/>
          <w:color w:val="000000"/>
        </w:rPr>
        <w:t xml:space="preserve"> El </w:t>
      </w:r>
      <w:r>
        <w:rPr>
          <w:rFonts w:ascii="Open Sans" w:hAnsi="Open Sans" w:cs="Open Sans"/>
          <w:color w:val="000000"/>
        </w:rPr>
        <w:t xml:space="preserve">distrito que más lo incrementa es Usera con un 3,9%, seguido de </w:t>
      </w:r>
      <w:r w:rsidRPr="0069441B">
        <w:rPr>
          <w:rFonts w:ascii="Open Sans" w:hAnsi="Open Sans" w:cs="Open Sans"/>
          <w:color w:val="000000"/>
        </w:rPr>
        <w:t>Moratalaz</w:t>
      </w:r>
      <w:r>
        <w:rPr>
          <w:rFonts w:ascii="Open Sans" w:hAnsi="Open Sans" w:cs="Open Sans"/>
          <w:color w:val="000000"/>
        </w:rPr>
        <w:t xml:space="preserve"> con un 2,3% y </w:t>
      </w:r>
      <w:r w:rsidRPr="0069441B">
        <w:rPr>
          <w:rFonts w:ascii="Open Sans" w:hAnsi="Open Sans" w:cs="Open Sans"/>
          <w:color w:val="000000"/>
        </w:rPr>
        <w:t>Ciudad Lineal</w:t>
      </w:r>
      <w:r>
        <w:rPr>
          <w:rFonts w:ascii="Open Sans" w:hAnsi="Open Sans" w:cs="Open Sans"/>
          <w:color w:val="000000"/>
        </w:rPr>
        <w:t xml:space="preserve"> con un 1,3%.</w:t>
      </w:r>
    </w:p>
    <w:p w14:paraId="646D1F59" w14:textId="4EFB2115" w:rsidR="005471B1" w:rsidRDefault="005471B1" w:rsidP="005471B1">
      <w:pPr>
        <w:pStyle w:val="NormalWeb"/>
        <w:shd w:val="clear" w:color="auto" w:fill="FFFFFF"/>
        <w:spacing w:after="225" w:line="276" w:lineRule="auto"/>
        <w:ind w:right="-574"/>
        <w:jc w:val="both"/>
        <w:rPr>
          <w:rFonts w:ascii="Open Sans" w:hAnsi="Open Sans" w:cs="Open Sans"/>
          <w:color w:val="000000"/>
        </w:rPr>
      </w:pPr>
      <w:r>
        <w:rPr>
          <w:rFonts w:ascii="Open Sans" w:hAnsi="Open Sans" w:cs="Open Sans"/>
          <w:color w:val="000000"/>
        </w:rPr>
        <w:t xml:space="preserve">El distrito más caro para vivir es </w:t>
      </w:r>
      <w:r w:rsidRPr="0069441B">
        <w:rPr>
          <w:rFonts w:ascii="Open Sans" w:hAnsi="Open Sans" w:cs="Open Sans"/>
          <w:color w:val="000000"/>
        </w:rPr>
        <w:t>Salamanca</w:t>
      </w:r>
      <w:r>
        <w:rPr>
          <w:rFonts w:ascii="Open Sans" w:hAnsi="Open Sans" w:cs="Open Sans"/>
          <w:color w:val="000000"/>
        </w:rPr>
        <w:t xml:space="preserve"> con un precio de 6.225 €/m</w:t>
      </w:r>
      <w:r w:rsidRPr="00F52F22">
        <w:rPr>
          <w:rFonts w:ascii="Open Sans" w:hAnsi="Open Sans" w:cs="Open Sans"/>
          <w:color w:val="000000"/>
          <w:vertAlign w:val="superscript"/>
        </w:rPr>
        <w:t>2</w:t>
      </w:r>
      <w:r>
        <w:rPr>
          <w:rFonts w:ascii="Open Sans" w:hAnsi="Open Sans" w:cs="Open Sans"/>
          <w:color w:val="000000"/>
        </w:rPr>
        <w:t xml:space="preserve"> y el más económico es </w:t>
      </w:r>
      <w:r w:rsidRPr="0069441B">
        <w:rPr>
          <w:rFonts w:ascii="Open Sans" w:hAnsi="Open Sans" w:cs="Open Sans"/>
          <w:color w:val="000000"/>
        </w:rPr>
        <w:t>Villaverde</w:t>
      </w:r>
      <w:r>
        <w:rPr>
          <w:rFonts w:ascii="Open Sans" w:hAnsi="Open Sans" w:cs="Open Sans"/>
          <w:color w:val="000000"/>
        </w:rPr>
        <w:t xml:space="preserve"> con un precio de 1.829 €/m</w:t>
      </w:r>
      <w:r w:rsidRPr="00FF6545">
        <w:rPr>
          <w:rFonts w:ascii="Open Sans" w:hAnsi="Open Sans" w:cs="Open Sans"/>
          <w:color w:val="000000"/>
          <w:vertAlign w:val="superscript"/>
        </w:rPr>
        <w:t>2</w:t>
      </w:r>
      <w:r>
        <w:rPr>
          <w:rFonts w:ascii="Open Sans" w:hAnsi="Open Sans" w:cs="Open Sans"/>
          <w:color w:val="000000"/>
        </w:rPr>
        <w:t xml:space="preserve">. </w:t>
      </w:r>
    </w:p>
    <w:p w14:paraId="4EBF248C" w14:textId="5AFD3730" w:rsidR="00156D22" w:rsidRPr="00156D22" w:rsidRDefault="00156D22" w:rsidP="00156D22">
      <w:pPr>
        <w:spacing w:line="276" w:lineRule="auto"/>
        <w:ind w:right="-574"/>
        <w:jc w:val="center"/>
        <w:rPr>
          <w:rFonts w:ascii="Open Sans Light" w:hAnsi="Open Sans Light" w:cs="Open Sans Light"/>
          <w:b/>
          <w:iCs/>
          <w:color w:val="303AB2"/>
          <w:sz w:val="26"/>
          <w:szCs w:val="26"/>
          <w:lang w:val="es-ES"/>
        </w:rPr>
      </w:pPr>
      <w:r w:rsidRPr="00156D22">
        <w:rPr>
          <w:rFonts w:ascii="Open Sans Light" w:hAnsi="Open Sans Light" w:cs="Open Sans Light"/>
          <w:b/>
          <w:iCs/>
          <w:color w:val="303AB2"/>
          <w:sz w:val="26"/>
          <w:szCs w:val="26"/>
          <w:lang w:val="es-ES"/>
        </w:rPr>
        <w:t>Precio y variación distritos de Madrid</w:t>
      </w:r>
    </w:p>
    <w:tbl>
      <w:tblPr>
        <w:tblStyle w:val="Tabladecuadrcula5oscura-nfasis11"/>
        <w:tblW w:w="9180" w:type="dxa"/>
        <w:tblInd w:w="108" w:type="dxa"/>
        <w:tblLook w:val="04A0" w:firstRow="1" w:lastRow="0" w:firstColumn="1" w:lastColumn="0" w:noHBand="0" w:noVBand="1"/>
      </w:tblPr>
      <w:tblGrid>
        <w:gridCol w:w="3516"/>
        <w:gridCol w:w="2829"/>
        <w:gridCol w:w="2835"/>
      </w:tblGrid>
      <w:tr w:rsidR="005471B1" w:rsidRPr="00FF6545" w14:paraId="072F1F20" w14:textId="77777777" w:rsidTr="00485B7F">
        <w:trPr>
          <w:cnfStyle w:val="100000000000" w:firstRow="1" w:lastRow="0" w:firstColumn="0" w:lastColumn="0" w:oddVBand="0" w:evenVBand="0" w:oddHBand="0"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3516" w:type="dxa"/>
            <w:vAlign w:val="center"/>
          </w:tcPr>
          <w:p w14:paraId="49588860" w14:textId="77777777" w:rsidR="005471B1" w:rsidRPr="00581C36" w:rsidRDefault="005471B1" w:rsidP="00485B7F">
            <w:pPr>
              <w:rPr>
                <w:rFonts w:ascii="Open Sans Light" w:hAnsi="Open Sans Light" w:cs="Open Sans Light"/>
                <w:iCs/>
                <w:sz w:val="22"/>
                <w:szCs w:val="22"/>
                <w:lang w:val="es-ES"/>
              </w:rPr>
            </w:pPr>
            <w:r w:rsidRPr="00581C36">
              <w:rPr>
                <w:rFonts w:ascii="Open Sans Light" w:hAnsi="Open Sans Light" w:cs="Open Sans Light"/>
                <w:iCs/>
                <w:sz w:val="22"/>
                <w:szCs w:val="22"/>
                <w:lang w:val="es-ES"/>
              </w:rPr>
              <w:t>Distritos</w:t>
            </w:r>
          </w:p>
        </w:tc>
        <w:tc>
          <w:tcPr>
            <w:tcW w:w="2829" w:type="dxa"/>
            <w:vAlign w:val="center"/>
          </w:tcPr>
          <w:p w14:paraId="6474AC0E" w14:textId="77777777" w:rsidR="005471B1" w:rsidRPr="00FF6545" w:rsidRDefault="005471B1" w:rsidP="00485B7F">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cs="Open Sans Light"/>
                <w:sz w:val="22"/>
                <w:szCs w:val="22"/>
                <w:lang w:val="es-ES"/>
              </w:rPr>
            </w:pPr>
            <w:r w:rsidRPr="00FF6545">
              <w:rPr>
                <w:rFonts w:ascii="Open Sans Light" w:hAnsi="Open Sans Light" w:cs="Open Sans Light"/>
                <w:sz w:val="22"/>
                <w:szCs w:val="22"/>
                <w:lang w:val="es-ES"/>
              </w:rPr>
              <w:t>Variación</w:t>
            </w:r>
          </w:p>
          <w:p w14:paraId="6AF9857A" w14:textId="77777777" w:rsidR="005471B1" w:rsidRPr="00FF6545" w:rsidRDefault="005471B1" w:rsidP="00485B7F">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cs="Open Sans Light"/>
                <w:sz w:val="22"/>
                <w:szCs w:val="22"/>
                <w:lang w:val="es-ES"/>
              </w:rPr>
            </w:pPr>
            <w:r w:rsidRPr="00FF6545">
              <w:rPr>
                <w:rFonts w:ascii="Open Sans Light" w:hAnsi="Open Sans Light" w:cs="Open Sans Light"/>
                <w:sz w:val="22"/>
                <w:szCs w:val="22"/>
                <w:lang w:val="es-ES"/>
              </w:rPr>
              <w:t>mensual (%)</w:t>
            </w:r>
          </w:p>
        </w:tc>
        <w:tc>
          <w:tcPr>
            <w:tcW w:w="2835" w:type="dxa"/>
            <w:vAlign w:val="center"/>
          </w:tcPr>
          <w:p w14:paraId="018284D9" w14:textId="77777777" w:rsidR="005471B1" w:rsidRPr="00FF6545" w:rsidRDefault="005471B1" w:rsidP="00485B7F">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cs="Open Sans Light"/>
                <w:sz w:val="22"/>
                <w:szCs w:val="22"/>
                <w:lang w:val="es-ES"/>
              </w:rPr>
            </w:pPr>
            <w:r>
              <w:rPr>
                <w:rFonts w:ascii="Open Sans Light" w:hAnsi="Open Sans Light" w:cs="Open Sans Light"/>
                <w:sz w:val="22"/>
                <w:szCs w:val="22"/>
                <w:lang w:val="es-ES"/>
              </w:rPr>
              <w:t>Abril</w:t>
            </w:r>
            <w:r w:rsidRPr="00A1471D">
              <w:rPr>
                <w:rFonts w:ascii="Open Sans Light" w:hAnsi="Open Sans Light" w:cs="Open Sans Light"/>
                <w:sz w:val="22"/>
                <w:szCs w:val="22"/>
                <w:lang w:val="es-ES"/>
              </w:rPr>
              <w:t xml:space="preserve"> </w:t>
            </w:r>
            <w:r w:rsidRPr="00FF6545">
              <w:rPr>
                <w:rFonts w:ascii="Open Sans Light" w:hAnsi="Open Sans Light" w:cs="Open Sans Light"/>
                <w:sz w:val="22"/>
                <w:szCs w:val="22"/>
                <w:lang w:val="es-ES"/>
              </w:rPr>
              <w:t>2019</w:t>
            </w:r>
            <w:r w:rsidRPr="00FF6545">
              <w:rPr>
                <w:rFonts w:ascii="Open Sans Light" w:hAnsi="Open Sans Light" w:cs="Open Sans Light"/>
                <w:sz w:val="22"/>
                <w:szCs w:val="22"/>
                <w:lang w:val="es-ES"/>
              </w:rPr>
              <w:br/>
              <w:t>(€/m</w:t>
            </w:r>
            <w:r w:rsidRPr="00F52F22">
              <w:rPr>
                <w:rFonts w:ascii="Open Sans Light" w:hAnsi="Open Sans Light" w:cs="Open Sans Light"/>
                <w:sz w:val="22"/>
                <w:szCs w:val="22"/>
                <w:vertAlign w:val="superscript"/>
                <w:lang w:val="es-ES"/>
              </w:rPr>
              <w:t>2</w:t>
            </w:r>
            <w:r w:rsidRPr="00FF6545">
              <w:rPr>
                <w:rFonts w:ascii="Open Sans Light" w:hAnsi="Open Sans Light" w:cs="Open Sans Light"/>
                <w:sz w:val="22"/>
                <w:szCs w:val="22"/>
                <w:lang w:val="es-ES"/>
              </w:rPr>
              <w:t>)</w:t>
            </w:r>
          </w:p>
        </w:tc>
      </w:tr>
      <w:tr w:rsidR="005471B1" w:rsidRPr="00FF6545" w14:paraId="22B12168" w14:textId="77777777" w:rsidTr="00485B7F">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3516" w:type="dxa"/>
            <w:vAlign w:val="bottom"/>
          </w:tcPr>
          <w:p w14:paraId="35C9BB22" w14:textId="77777777" w:rsidR="005471B1" w:rsidRPr="0069441B" w:rsidRDefault="005471B1" w:rsidP="00485B7F">
            <w:pPr>
              <w:rPr>
                <w:rFonts w:ascii="Arial" w:hAnsi="Arial" w:cs="Arial"/>
                <w:b w:val="0"/>
                <w:sz w:val="22"/>
                <w:szCs w:val="22"/>
              </w:rPr>
            </w:pPr>
            <w:r w:rsidRPr="0069441B">
              <w:rPr>
                <w:rFonts w:ascii="Arial" w:hAnsi="Arial" w:cs="Arial"/>
                <w:b w:val="0"/>
                <w:sz w:val="22"/>
                <w:szCs w:val="22"/>
              </w:rPr>
              <w:t>Usera</w:t>
            </w:r>
          </w:p>
        </w:tc>
        <w:tc>
          <w:tcPr>
            <w:tcW w:w="2829" w:type="dxa"/>
            <w:vAlign w:val="bottom"/>
          </w:tcPr>
          <w:p w14:paraId="171CE8A6" w14:textId="77777777" w:rsidR="005471B1" w:rsidRDefault="005471B1" w:rsidP="00485B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3,9 %</w:t>
            </w:r>
          </w:p>
        </w:tc>
        <w:tc>
          <w:tcPr>
            <w:tcW w:w="2835" w:type="dxa"/>
            <w:vAlign w:val="bottom"/>
          </w:tcPr>
          <w:p w14:paraId="4B15E9A4" w14:textId="77777777" w:rsidR="005471B1" w:rsidRDefault="005471B1" w:rsidP="00485B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2.213 €</w:t>
            </w:r>
          </w:p>
        </w:tc>
      </w:tr>
      <w:tr w:rsidR="005471B1" w:rsidRPr="00FF6545" w14:paraId="69D5B53D" w14:textId="77777777" w:rsidTr="00485B7F">
        <w:trPr>
          <w:trHeight w:val="252"/>
        </w:trPr>
        <w:tc>
          <w:tcPr>
            <w:cnfStyle w:val="001000000000" w:firstRow="0" w:lastRow="0" w:firstColumn="1" w:lastColumn="0" w:oddVBand="0" w:evenVBand="0" w:oddHBand="0" w:evenHBand="0" w:firstRowFirstColumn="0" w:firstRowLastColumn="0" w:lastRowFirstColumn="0" w:lastRowLastColumn="0"/>
            <w:tcW w:w="3516" w:type="dxa"/>
            <w:vAlign w:val="bottom"/>
          </w:tcPr>
          <w:p w14:paraId="005B4AAF" w14:textId="77777777" w:rsidR="005471B1" w:rsidRPr="0069441B" w:rsidRDefault="005471B1" w:rsidP="00485B7F">
            <w:pPr>
              <w:rPr>
                <w:rFonts w:ascii="Arial" w:hAnsi="Arial" w:cs="Arial"/>
                <w:b w:val="0"/>
                <w:sz w:val="22"/>
                <w:szCs w:val="22"/>
              </w:rPr>
            </w:pPr>
            <w:r w:rsidRPr="0069441B">
              <w:rPr>
                <w:rFonts w:ascii="Arial" w:hAnsi="Arial" w:cs="Arial"/>
                <w:b w:val="0"/>
                <w:sz w:val="22"/>
                <w:szCs w:val="22"/>
              </w:rPr>
              <w:t>Moratalaz</w:t>
            </w:r>
          </w:p>
        </w:tc>
        <w:tc>
          <w:tcPr>
            <w:tcW w:w="2829" w:type="dxa"/>
            <w:vAlign w:val="bottom"/>
          </w:tcPr>
          <w:p w14:paraId="494CBC05" w14:textId="77777777" w:rsidR="005471B1" w:rsidRDefault="005471B1" w:rsidP="00485B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2,3 %</w:t>
            </w:r>
          </w:p>
        </w:tc>
        <w:tc>
          <w:tcPr>
            <w:tcW w:w="2835" w:type="dxa"/>
            <w:vAlign w:val="bottom"/>
          </w:tcPr>
          <w:p w14:paraId="1FD5D83F" w14:textId="77777777" w:rsidR="005471B1" w:rsidRDefault="005471B1" w:rsidP="00485B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2.592 €</w:t>
            </w:r>
          </w:p>
        </w:tc>
      </w:tr>
      <w:tr w:rsidR="005471B1" w:rsidRPr="00FF6545" w14:paraId="0459B022" w14:textId="77777777" w:rsidTr="00485B7F">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3516" w:type="dxa"/>
            <w:vAlign w:val="bottom"/>
          </w:tcPr>
          <w:p w14:paraId="4696C285" w14:textId="77777777" w:rsidR="005471B1" w:rsidRPr="0069441B" w:rsidRDefault="005471B1" w:rsidP="00485B7F">
            <w:pPr>
              <w:rPr>
                <w:rFonts w:ascii="Arial" w:hAnsi="Arial" w:cs="Arial"/>
                <w:b w:val="0"/>
                <w:sz w:val="22"/>
                <w:szCs w:val="22"/>
              </w:rPr>
            </w:pPr>
            <w:r w:rsidRPr="0069441B">
              <w:rPr>
                <w:rFonts w:ascii="Arial" w:hAnsi="Arial" w:cs="Arial"/>
                <w:b w:val="0"/>
                <w:sz w:val="22"/>
                <w:szCs w:val="22"/>
              </w:rPr>
              <w:t>Ciudad Lineal</w:t>
            </w:r>
          </w:p>
        </w:tc>
        <w:tc>
          <w:tcPr>
            <w:tcW w:w="2829" w:type="dxa"/>
            <w:vAlign w:val="bottom"/>
          </w:tcPr>
          <w:p w14:paraId="20B14E99" w14:textId="77777777" w:rsidR="005471B1" w:rsidRDefault="005471B1" w:rsidP="00485B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1,3 %</w:t>
            </w:r>
          </w:p>
        </w:tc>
        <w:tc>
          <w:tcPr>
            <w:tcW w:w="2835" w:type="dxa"/>
            <w:vAlign w:val="bottom"/>
          </w:tcPr>
          <w:p w14:paraId="4D20F4BC" w14:textId="77777777" w:rsidR="005471B1" w:rsidRDefault="005471B1" w:rsidP="00485B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3.194 €</w:t>
            </w:r>
          </w:p>
        </w:tc>
      </w:tr>
      <w:tr w:rsidR="005471B1" w:rsidRPr="00FF6545" w14:paraId="712277A9" w14:textId="77777777" w:rsidTr="00485B7F">
        <w:trPr>
          <w:trHeight w:val="252"/>
        </w:trPr>
        <w:tc>
          <w:tcPr>
            <w:cnfStyle w:val="001000000000" w:firstRow="0" w:lastRow="0" w:firstColumn="1" w:lastColumn="0" w:oddVBand="0" w:evenVBand="0" w:oddHBand="0" w:evenHBand="0" w:firstRowFirstColumn="0" w:firstRowLastColumn="0" w:lastRowFirstColumn="0" w:lastRowLastColumn="0"/>
            <w:tcW w:w="3516" w:type="dxa"/>
            <w:vAlign w:val="bottom"/>
          </w:tcPr>
          <w:p w14:paraId="7FC6C809" w14:textId="77777777" w:rsidR="005471B1" w:rsidRPr="0069441B" w:rsidRDefault="005471B1" w:rsidP="00485B7F">
            <w:pPr>
              <w:rPr>
                <w:rFonts w:ascii="Arial" w:hAnsi="Arial" w:cs="Arial"/>
                <w:b w:val="0"/>
                <w:sz w:val="22"/>
                <w:szCs w:val="22"/>
              </w:rPr>
            </w:pPr>
            <w:r w:rsidRPr="0069441B">
              <w:rPr>
                <w:rFonts w:ascii="Arial" w:hAnsi="Arial" w:cs="Arial"/>
                <w:b w:val="0"/>
                <w:sz w:val="22"/>
                <w:szCs w:val="22"/>
              </w:rPr>
              <w:t>Villa de Vallecas</w:t>
            </w:r>
          </w:p>
        </w:tc>
        <w:tc>
          <w:tcPr>
            <w:tcW w:w="2829" w:type="dxa"/>
            <w:vAlign w:val="bottom"/>
          </w:tcPr>
          <w:p w14:paraId="07F5109C" w14:textId="77777777" w:rsidR="005471B1" w:rsidRDefault="005471B1" w:rsidP="00485B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1,2 %</w:t>
            </w:r>
          </w:p>
        </w:tc>
        <w:tc>
          <w:tcPr>
            <w:tcW w:w="2835" w:type="dxa"/>
            <w:vAlign w:val="bottom"/>
          </w:tcPr>
          <w:p w14:paraId="5F8AF694" w14:textId="77777777" w:rsidR="005471B1" w:rsidRDefault="005471B1" w:rsidP="00485B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2.464 €</w:t>
            </w:r>
          </w:p>
        </w:tc>
      </w:tr>
      <w:tr w:rsidR="005471B1" w:rsidRPr="00FF6545" w14:paraId="08DBC910" w14:textId="77777777" w:rsidTr="00485B7F">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3516" w:type="dxa"/>
            <w:vAlign w:val="bottom"/>
          </w:tcPr>
          <w:p w14:paraId="52557DD0" w14:textId="77777777" w:rsidR="005471B1" w:rsidRPr="0069441B" w:rsidRDefault="005471B1" w:rsidP="00485B7F">
            <w:pPr>
              <w:rPr>
                <w:rFonts w:ascii="Arial" w:hAnsi="Arial" w:cs="Arial"/>
                <w:b w:val="0"/>
                <w:sz w:val="22"/>
                <w:szCs w:val="22"/>
              </w:rPr>
            </w:pPr>
            <w:r w:rsidRPr="0069441B">
              <w:rPr>
                <w:rFonts w:ascii="Arial" w:hAnsi="Arial" w:cs="Arial"/>
                <w:b w:val="0"/>
                <w:sz w:val="22"/>
                <w:szCs w:val="22"/>
              </w:rPr>
              <w:t>Villaverde</w:t>
            </w:r>
          </w:p>
        </w:tc>
        <w:tc>
          <w:tcPr>
            <w:tcW w:w="2829" w:type="dxa"/>
            <w:vAlign w:val="bottom"/>
          </w:tcPr>
          <w:p w14:paraId="34C8724C" w14:textId="77777777" w:rsidR="005471B1" w:rsidRDefault="005471B1" w:rsidP="00485B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1,1 %</w:t>
            </w:r>
          </w:p>
        </w:tc>
        <w:tc>
          <w:tcPr>
            <w:tcW w:w="2835" w:type="dxa"/>
            <w:vAlign w:val="bottom"/>
          </w:tcPr>
          <w:p w14:paraId="08D5B05E" w14:textId="77777777" w:rsidR="005471B1" w:rsidRDefault="005471B1" w:rsidP="00485B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1.829 €</w:t>
            </w:r>
          </w:p>
        </w:tc>
      </w:tr>
      <w:tr w:rsidR="005471B1" w:rsidRPr="00FF6545" w14:paraId="1CD66836" w14:textId="77777777" w:rsidTr="00485B7F">
        <w:trPr>
          <w:trHeight w:val="252"/>
        </w:trPr>
        <w:tc>
          <w:tcPr>
            <w:cnfStyle w:val="001000000000" w:firstRow="0" w:lastRow="0" w:firstColumn="1" w:lastColumn="0" w:oddVBand="0" w:evenVBand="0" w:oddHBand="0" w:evenHBand="0" w:firstRowFirstColumn="0" w:firstRowLastColumn="0" w:lastRowFirstColumn="0" w:lastRowLastColumn="0"/>
            <w:tcW w:w="3516" w:type="dxa"/>
            <w:vAlign w:val="bottom"/>
          </w:tcPr>
          <w:p w14:paraId="72BD2627" w14:textId="77777777" w:rsidR="005471B1" w:rsidRPr="0069441B" w:rsidRDefault="005471B1" w:rsidP="00485B7F">
            <w:pPr>
              <w:rPr>
                <w:rFonts w:ascii="Arial" w:hAnsi="Arial" w:cs="Arial"/>
                <w:b w:val="0"/>
                <w:sz w:val="22"/>
                <w:szCs w:val="22"/>
              </w:rPr>
            </w:pPr>
            <w:r w:rsidRPr="0069441B">
              <w:rPr>
                <w:rFonts w:ascii="Arial" w:hAnsi="Arial" w:cs="Arial"/>
                <w:b w:val="0"/>
                <w:sz w:val="22"/>
                <w:szCs w:val="22"/>
              </w:rPr>
              <w:t>Fuencarral</w:t>
            </w:r>
          </w:p>
        </w:tc>
        <w:tc>
          <w:tcPr>
            <w:tcW w:w="2829" w:type="dxa"/>
            <w:vAlign w:val="bottom"/>
          </w:tcPr>
          <w:p w14:paraId="5D6DA0F9" w14:textId="77777777" w:rsidR="005471B1" w:rsidRDefault="005471B1" w:rsidP="00485B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1,0 %</w:t>
            </w:r>
          </w:p>
        </w:tc>
        <w:tc>
          <w:tcPr>
            <w:tcW w:w="2835" w:type="dxa"/>
            <w:vAlign w:val="bottom"/>
          </w:tcPr>
          <w:p w14:paraId="51C56592" w14:textId="77777777" w:rsidR="005471B1" w:rsidRDefault="005471B1" w:rsidP="00485B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3.591 €</w:t>
            </w:r>
          </w:p>
        </w:tc>
      </w:tr>
      <w:tr w:rsidR="005471B1" w:rsidRPr="00FF6545" w14:paraId="30A0AF4F" w14:textId="77777777" w:rsidTr="00485B7F">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3516" w:type="dxa"/>
            <w:vAlign w:val="bottom"/>
          </w:tcPr>
          <w:p w14:paraId="68688EBF" w14:textId="77777777" w:rsidR="005471B1" w:rsidRPr="0069441B" w:rsidRDefault="005471B1" w:rsidP="00485B7F">
            <w:pPr>
              <w:rPr>
                <w:rFonts w:ascii="Arial" w:hAnsi="Arial" w:cs="Arial"/>
                <w:b w:val="0"/>
                <w:sz w:val="22"/>
                <w:szCs w:val="22"/>
              </w:rPr>
            </w:pPr>
            <w:r w:rsidRPr="0069441B">
              <w:rPr>
                <w:rFonts w:ascii="Arial" w:hAnsi="Arial" w:cs="Arial"/>
                <w:b w:val="0"/>
                <w:sz w:val="22"/>
                <w:szCs w:val="22"/>
              </w:rPr>
              <w:t>Barajas</w:t>
            </w:r>
          </w:p>
        </w:tc>
        <w:tc>
          <w:tcPr>
            <w:tcW w:w="2829" w:type="dxa"/>
            <w:vAlign w:val="bottom"/>
          </w:tcPr>
          <w:p w14:paraId="0E3918E5" w14:textId="77777777" w:rsidR="005471B1" w:rsidRDefault="005471B1" w:rsidP="00485B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1,0 %</w:t>
            </w:r>
          </w:p>
        </w:tc>
        <w:tc>
          <w:tcPr>
            <w:tcW w:w="2835" w:type="dxa"/>
            <w:vAlign w:val="bottom"/>
          </w:tcPr>
          <w:p w14:paraId="3F7CC50F" w14:textId="77777777" w:rsidR="005471B1" w:rsidRDefault="005471B1" w:rsidP="00485B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3.479 €</w:t>
            </w:r>
          </w:p>
        </w:tc>
      </w:tr>
      <w:tr w:rsidR="005471B1" w:rsidRPr="00FF6545" w14:paraId="125B78EA" w14:textId="77777777" w:rsidTr="00485B7F">
        <w:trPr>
          <w:trHeight w:val="252"/>
        </w:trPr>
        <w:tc>
          <w:tcPr>
            <w:cnfStyle w:val="001000000000" w:firstRow="0" w:lastRow="0" w:firstColumn="1" w:lastColumn="0" w:oddVBand="0" w:evenVBand="0" w:oddHBand="0" w:evenHBand="0" w:firstRowFirstColumn="0" w:firstRowLastColumn="0" w:lastRowFirstColumn="0" w:lastRowLastColumn="0"/>
            <w:tcW w:w="3516" w:type="dxa"/>
            <w:vAlign w:val="bottom"/>
          </w:tcPr>
          <w:p w14:paraId="1F7241E4" w14:textId="77777777" w:rsidR="005471B1" w:rsidRPr="0069441B" w:rsidRDefault="005471B1" w:rsidP="00485B7F">
            <w:pPr>
              <w:rPr>
                <w:rFonts w:ascii="Arial" w:hAnsi="Arial" w:cs="Arial"/>
                <w:b w:val="0"/>
                <w:sz w:val="22"/>
                <w:szCs w:val="22"/>
              </w:rPr>
            </w:pPr>
            <w:r w:rsidRPr="0069441B">
              <w:rPr>
                <w:rFonts w:ascii="Arial" w:hAnsi="Arial" w:cs="Arial"/>
                <w:b w:val="0"/>
                <w:sz w:val="22"/>
                <w:szCs w:val="22"/>
              </w:rPr>
              <w:t>Retiro</w:t>
            </w:r>
          </w:p>
        </w:tc>
        <w:tc>
          <w:tcPr>
            <w:tcW w:w="2829" w:type="dxa"/>
            <w:vAlign w:val="bottom"/>
          </w:tcPr>
          <w:p w14:paraId="7D5699A5" w14:textId="77777777" w:rsidR="005471B1" w:rsidRDefault="005471B1" w:rsidP="00485B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1,0 %</w:t>
            </w:r>
          </w:p>
        </w:tc>
        <w:tc>
          <w:tcPr>
            <w:tcW w:w="2835" w:type="dxa"/>
            <w:vAlign w:val="bottom"/>
          </w:tcPr>
          <w:p w14:paraId="7E515CA1" w14:textId="77777777" w:rsidR="005471B1" w:rsidRDefault="005471B1" w:rsidP="00485B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4.905 €</w:t>
            </w:r>
          </w:p>
        </w:tc>
      </w:tr>
      <w:tr w:rsidR="005471B1" w:rsidRPr="00FF6545" w14:paraId="26BB98FE" w14:textId="77777777" w:rsidTr="00485B7F">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3516" w:type="dxa"/>
            <w:vAlign w:val="bottom"/>
          </w:tcPr>
          <w:p w14:paraId="5A3A5630" w14:textId="77777777" w:rsidR="005471B1" w:rsidRPr="0069441B" w:rsidRDefault="005471B1" w:rsidP="00485B7F">
            <w:pPr>
              <w:rPr>
                <w:rFonts w:ascii="Arial" w:hAnsi="Arial" w:cs="Arial"/>
                <w:b w:val="0"/>
                <w:sz w:val="22"/>
                <w:szCs w:val="22"/>
              </w:rPr>
            </w:pPr>
            <w:r w:rsidRPr="0069441B">
              <w:rPr>
                <w:rFonts w:ascii="Arial" w:hAnsi="Arial" w:cs="Arial"/>
                <w:b w:val="0"/>
                <w:sz w:val="22"/>
                <w:szCs w:val="22"/>
              </w:rPr>
              <w:t>Puente de Vallecas</w:t>
            </w:r>
          </w:p>
        </w:tc>
        <w:tc>
          <w:tcPr>
            <w:tcW w:w="2829" w:type="dxa"/>
            <w:vAlign w:val="bottom"/>
          </w:tcPr>
          <w:p w14:paraId="0B095D96" w14:textId="77777777" w:rsidR="005471B1" w:rsidRDefault="005471B1" w:rsidP="00485B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0,9 %</w:t>
            </w:r>
          </w:p>
        </w:tc>
        <w:tc>
          <w:tcPr>
            <w:tcW w:w="2835" w:type="dxa"/>
            <w:vAlign w:val="bottom"/>
          </w:tcPr>
          <w:p w14:paraId="0157F76C" w14:textId="77777777" w:rsidR="005471B1" w:rsidRDefault="005471B1" w:rsidP="00485B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1.956 €</w:t>
            </w:r>
          </w:p>
        </w:tc>
      </w:tr>
      <w:tr w:rsidR="005471B1" w:rsidRPr="00FF6545" w14:paraId="5B57C84A" w14:textId="77777777" w:rsidTr="00485B7F">
        <w:trPr>
          <w:trHeight w:val="252"/>
        </w:trPr>
        <w:tc>
          <w:tcPr>
            <w:cnfStyle w:val="001000000000" w:firstRow="0" w:lastRow="0" w:firstColumn="1" w:lastColumn="0" w:oddVBand="0" w:evenVBand="0" w:oddHBand="0" w:evenHBand="0" w:firstRowFirstColumn="0" w:firstRowLastColumn="0" w:lastRowFirstColumn="0" w:lastRowLastColumn="0"/>
            <w:tcW w:w="3516" w:type="dxa"/>
            <w:vAlign w:val="bottom"/>
          </w:tcPr>
          <w:p w14:paraId="05E908F1" w14:textId="77777777" w:rsidR="005471B1" w:rsidRPr="0069441B" w:rsidRDefault="005471B1" w:rsidP="00485B7F">
            <w:pPr>
              <w:rPr>
                <w:rFonts w:ascii="Arial" w:hAnsi="Arial" w:cs="Arial"/>
                <w:b w:val="0"/>
                <w:sz w:val="22"/>
                <w:szCs w:val="22"/>
              </w:rPr>
            </w:pPr>
            <w:r w:rsidRPr="0069441B">
              <w:rPr>
                <w:rFonts w:ascii="Arial" w:hAnsi="Arial" w:cs="Arial"/>
                <w:b w:val="0"/>
                <w:sz w:val="22"/>
                <w:szCs w:val="22"/>
              </w:rPr>
              <w:lastRenderedPageBreak/>
              <w:t>Salamanca</w:t>
            </w:r>
          </w:p>
        </w:tc>
        <w:tc>
          <w:tcPr>
            <w:tcW w:w="2829" w:type="dxa"/>
            <w:vAlign w:val="bottom"/>
          </w:tcPr>
          <w:p w14:paraId="5808BB29" w14:textId="77777777" w:rsidR="005471B1" w:rsidRDefault="005471B1" w:rsidP="00485B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0,8 %</w:t>
            </w:r>
          </w:p>
        </w:tc>
        <w:tc>
          <w:tcPr>
            <w:tcW w:w="2835" w:type="dxa"/>
            <w:vAlign w:val="bottom"/>
          </w:tcPr>
          <w:p w14:paraId="6200FF87" w14:textId="77777777" w:rsidR="005471B1" w:rsidRDefault="005471B1" w:rsidP="00485B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6.225 €</w:t>
            </w:r>
          </w:p>
        </w:tc>
      </w:tr>
      <w:tr w:rsidR="005471B1" w:rsidRPr="00FF6545" w14:paraId="46C59A04" w14:textId="77777777" w:rsidTr="00485B7F">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3516" w:type="dxa"/>
            <w:vAlign w:val="bottom"/>
          </w:tcPr>
          <w:p w14:paraId="51ABAE73" w14:textId="77777777" w:rsidR="005471B1" w:rsidRPr="0069441B" w:rsidRDefault="005471B1" w:rsidP="00485B7F">
            <w:pPr>
              <w:rPr>
                <w:rFonts w:ascii="Arial" w:hAnsi="Arial" w:cs="Arial"/>
                <w:b w:val="0"/>
                <w:sz w:val="22"/>
                <w:szCs w:val="22"/>
              </w:rPr>
            </w:pPr>
            <w:r w:rsidRPr="0069441B">
              <w:rPr>
                <w:rFonts w:ascii="Arial" w:hAnsi="Arial" w:cs="Arial"/>
                <w:b w:val="0"/>
                <w:sz w:val="22"/>
                <w:szCs w:val="22"/>
              </w:rPr>
              <w:t>San Blas</w:t>
            </w:r>
          </w:p>
        </w:tc>
        <w:tc>
          <w:tcPr>
            <w:tcW w:w="2829" w:type="dxa"/>
            <w:vAlign w:val="bottom"/>
          </w:tcPr>
          <w:p w14:paraId="42505D60" w14:textId="77777777" w:rsidR="005471B1" w:rsidRDefault="005471B1" w:rsidP="00485B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0,5 %</w:t>
            </w:r>
          </w:p>
        </w:tc>
        <w:tc>
          <w:tcPr>
            <w:tcW w:w="2835" w:type="dxa"/>
            <w:vAlign w:val="bottom"/>
          </w:tcPr>
          <w:p w14:paraId="201AFF6C" w14:textId="77777777" w:rsidR="005471B1" w:rsidRDefault="005471B1" w:rsidP="00485B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2.629 €</w:t>
            </w:r>
          </w:p>
        </w:tc>
      </w:tr>
      <w:tr w:rsidR="005471B1" w:rsidRPr="00FF6545" w14:paraId="0666AF49" w14:textId="77777777" w:rsidTr="00485B7F">
        <w:trPr>
          <w:trHeight w:val="252"/>
        </w:trPr>
        <w:tc>
          <w:tcPr>
            <w:cnfStyle w:val="001000000000" w:firstRow="0" w:lastRow="0" w:firstColumn="1" w:lastColumn="0" w:oddVBand="0" w:evenVBand="0" w:oddHBand="0" w:evenHBand="0" w:firstRowFirstColumn="0" w:firstRowLastColumn="0" w:lastRowFirstColumn="0" w:lastRowLastColumn="0"/>
            <w:tcW w:w="3516" w:type="dxa"/>
            <w:vAlign w:val="bottom"/>
          </w:tcPr>
          <w:p w14:paraId="25B265BE" w14:textId="77777777" w:rsidR="005471B1" w:rsidRPr="0069441B" w:rsidRDefault="005471B1" w:rsidP="00485B7F">
            <w:pPr>
              <w:rPr>
                <w:rFonts w:ascii="Arial" w:hAnsi="Arial" w:cs="Arial"/>
                <w:b w:val="0"/>
                <w:sz w:val="22"/>
                <w:szCs w:val="22"/>
              </w:rPr>
            </w:pPr>
            <w:r w:rsidRPr="0069441B">
              <w:rPr>
                <w:rFonts w:ascii="Arial" w:hAnsi="Arial" w:cs="Arial"/>
                <w:b w:val="0"/>
                <w:sz w:val="22"/>
                <w:szCs w:val="22"/>
              </w:rPr>
              <w:t>Centro</w:t>
            </w:r>
          </w:p>
        </w:tc>
        <w:tc>
          <w:tcPr>
            <w:tcW w:w="2829" w:type="dxa"/>
            <w:vAlign w:val="bottom"/>
          </w:tcPr>
          <w:p w14:paraId="47F5FF24" w14:textId="77777777" w:rsidR="005471B1" w:rsidRDefault="005471B1" w:rsidP="00485B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0,2 %</w:t>
            </w:r>
          </w:p>
        </w:tc>
        <w:tc>
          <w:tcPr>
            <w:tcW w:w="2835" w:type="dxa"/>
            <w:vAlign w:val="bottom"/>
          </w:tcPr>
          <w:p w14:paraId="4349EF1B" w14:textId="77777777" w:rsidR="005471B1" w:rsidRDefault="005471B1" w:rsidP="00485B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5.268 €</w:t>
            </w:r>
          </w:p>
        </w:tc>
      </w:tr>
      <w:tr w:rsidR="005471B1" w:rsidRPr="00FF6545" w14:paraId="69B2AF18" w14:textId="77777777" w:rsidTr="00485B7F">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3516" w:type="dxa"/>
            <w:vAlign w:val="bottom"/>
          </w:tcPr>
          <w:p w14:paraId="2C5F3A25" w14:textId="77777777" w:rsidR="005471B1" w:rsidRPr="0069441B" w:rsidRDefault="005471B1" w:rsidP="00485B7F">
            <w:pPr>
              <w:rPr>
                <w:rFonts w:ascii="Arial" w:hAnsi="Arial" w:cs="Arial"/>
                <w:b w:val="0"/>
                <w:sz w:val="22"/>
                <w:szCs w:val="22"/>
              </w:rPr>
            </w:pPr>
            <w:r w:rsidRPr="0069441B">
              <w:rPr>
                <w:rFonts w:ascii="Arial" w:hAnsi="Arial" w:cs="Arial"/>
                <w:b w:val="0"/>
                <w:sz w:val="22"/>
                <w:szCs w:val="22"/>
              </w:rPr>
              <w:t>Tetuán</w:t>
            </w:r>
          </w:p>
        </w:tc>
        <w:tc>
          <w:tcPr>
            <w:tcW w:w="2829" w:type="dxa"/>
            <w:vAlign w:val="bottom"/>
          </w:tcPr>
          <w:p w14:paraId="5C4660E0" w14:textId="77777777" w:rsidR="005471B1" w:rsidRDefault="005471B1" w:rsidP="00485B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0,2 %</w:t>
            </w:r>
          </w:p>
        </w:tc>
        <w:tc>
          <w:tcPr>
            <w:tcW w:w="2835" w:type="dxa"/>
            <w:vAlign w:val="bottom"/>
          </w:tcPr>
          <w:p w14:paraId="12FF5D80" w14:textId="77777777" w:rsidR="005471B1" w:rsidRDefault="005471B1" w:rsidP="00485B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3.843 €</w:t>
            </w:r>
          </w:p>
        </w:tc>
      </w:tr>
      <w:tr w:rsidR="005471B1" w:rsidRPr="00FF6545" w14:paraId="06CAC019" w14:textId="77777777" w:rsidTr="00485B7F">
        <w:trPr>
          <w:trHeight w:val="252"/>
        </w:trPr>
        <w:tc>
          <w:tcPr>
            <w:cnfStyle w:val="001000000000" w:firstRow="0" w:lastRow="0" w:firstColumn="1" w:lastColumn="0" w:oddVBand="0" w:evenVBand="0" w:oddHBand="0" w:evenHBand="0" w:firstRowFirstColumn="0" w:firstRowLastColumn="0" w:lastRowFirstColumn="0" w:lastRowLastColumn="0"/>
            <w:tcW w:w="3516" w:type="dxa"/>
            <w:vAlign w:val="bottom"/>
          </w:tcPr>
          <w:p w14:paraId="06F42362" w14:textId="77777777" w:rsidR="005471B1" w:rsidRPr="0069441B" w:rsidRDefault="005471B1" w:rsidP="00485B7F">
            <w:pPr>
              <w:rPr>
                <w:rFonts w:ascii="Arial" w:hAnsi="Arial" w:cs="Arial"/>
                <w:b w:val="0"/>
                <w:sz w:val="22"/>
                <w:szCs w:val="22"/>
              </w:rPr>
            </w:pPr>
            <w:r w:rsidRPr="0069441B">
              <w:rPr>
                <w:rFonts w:ascii="Arial" w:hAnsi="Arial" w:cs="Arial"/>
                <w:b w:val="0"/>
                <w:sz w:val="22"/>
                <w:szCs w:val="22"/>
              </w:rPr>
              <w:t>Arganzuela</w:t>
            </w:r>
          </w:p>
        </w:tc>
        <w:tc>
          <w:tcPr>
            <w:tcW w:w="2829" w:type="dxa"/>
            <w:vAlign w:val="bottom"/>
          </w:tcPr>
          <w:p w14:paraId="5EFE1D26" w14:textId="77777777" w:rsidR="005471B1" w:rsidRDefault="005471B1" w:rsidP="00485B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0,2 %</w:t>
            </w:r>
          </w:p>
        </w:tc>
        <w:tc>
          <w:tcPr>
            <w:tcW w:w="2835" w:type="dxa"/>
            <w:vAlign w:val="bottom"/>
          </w:tcPr>
          <w:p w14:paraId="55B11DA2" w14:textId="77777777" w:rsidR="005471B1" w:rsidRDefault="005471B1" w:rsidP="00485B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4.265 €</w:t>
            </w:r>
          </w:p>
        </w:tc>
      </w:tr>
      <w:tr w:rsidR="005471B1" w:rsidRPr="00FF6545" w14:paraId="1A8A9A89" w14:textId="77777777" w:rsidTr="00485B7F">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3516" w:type="dxa"/>
            <w:vAlign w:val="bottom"/>
          </w:tcPr>
          <w:p w14:paraId="2B38364E" w14:textId="77777777" w:rsidR="005471B1" w:rsidRPr="0069441B" w:rsidRDefault="005471B1" w:rsidP="00485B7F">
            <w:pPr>
              <w:rPr>
                <w:rFonts w:ascii="Arial" w:hAnsi="Arial" w:cs="Arial"/>
                <w:b w:val="0"/>
                <w:sz w:val="22"/>
                <w:szCs w:val="22"/>
              </w:rPr>
            </w:pPr>
            <w:r w:rsidRPr="0069441B">
              <w:rPr>
                <w:rFonts w:ascii="Arial" w:hAnsi="Arial" w:cs="Arial"/>
                <w:b w:val="0"/>
                <w:sz w:val="22"/>
                <w:szCs w:val="22"/>
              </w:rPr>
              <w:t>Carabanchel</w:t>
            </w:r>
          </w:p>
        </w:tc>
        <w:tc>
          <w:tcPr>
            <w:tcW w:w="2829" w:type="dxa"/>
            <w:vAlign w:val="bottom"/>
          </w:tcPr>
          <w:p w14:paraId="26882328" w14:textId="77777777" w:rsidR="005471B1" w:rsidRDefault="005471B1" w:rsidP="00485B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0,1 %</w:t>
            </w:r>
          </w:p>
        </w:tc>
        <w:tc>
          <w:tcPr>
            <w:tcW w:w="2835" w:type="dxa"/>
            <w:vAlign w:val="bottom"/>
          </w:tcPr>
          <w:p w14:paraId="4FB980AF" w14:textId="77777777" w:rsidR="005471B1" w:rsidRDefault="005471B1" w:rsidP="00485B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2.292 €</w:t>
            </w:r>
          </w:p>
        </w:tc>
      </w:tr>
      <w:tr w:rsidR="005471B1" w:rsidRPr="00FF6545" w14:paraId="14B63A5F" w14:textId="77777777" w:rsidTr="00485B7F">
        <w:trPr>
          <w:trHeight w:val="252"/>
        </w:trPr>
        <w:tc>
          <w:tcPr>
            <w:cnfStyle w:val="001000000000" w:firstRow="0" w:lastRow="0" w:firstColumn="1" w:lastColumn="0" w:oddVBand="0" w:evenVBand="0" w:oddHBand="0" w:evenHBand="0" w:firstRowFirstColumn="0" w:firstRowLastColumn="0" w:lastRowFirstColumn="0" w:lastRowLastColumn="0"/>
            <w:tcW w:w="3516" w:type="dxa"/>
            <w:vAlign w:val="bottom"/>
          </w:tcPr>
          <w:p w14:paraId="52572EE5" w14:textId="77777777" w:rsidR="005471B1" w:rsidRPr="0069441B" w:rsidRDefault="005471B1" w:rsidP="00485B7F">
            <w:pPr>
              <w:rPr>
                <w:rFonts w:ascii="Arial" w:hAnsi="Arial" w:cs="Arial"/>
                <w:b w:val="0"/>
                <w:sz w:val="22"/>
                <w:szCs w:val="22"/>
              </w:rPr>
            </w:pPr>
            <w:r w:rsidRPr="0069441B">
              <w:rPr>
                <w:rFonts w:ascii="Arial" w:hAnsi="Arial" w:cs="Arial"/>
                <w:b w:val="0"/>
                <w:sz w:val="22"/>
                <w:szCs w:val="22"/>
              </w:rPr>
              <w:t>Moncloa</w:t>
            </w:r>
          </w:p>
        </w:tc>
        <w:tc>
          <w:tcPr>
            <w:tcW w:w="2829" w:type="dxa"/>
            <w:vAlign w:val="bottom"/>
          </w:tcPr>
          <w:p w14:paraId="75AED8B6" w14:textId="77777777" w:rsidR="005471B1" w:rsidRDefault="005471B1" w:rsidP="00485B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9C0006"/>
                <w:sz w:val="22"/>
                <w:szCs w:val="22"/>
              </w:rPr>
            </w:pPr>
            <w:r>
              <w:rPr>
                <w:rFonts w:ascii="Arial" w:hAnsi="Arial" w:cs="Arial"/>
                <w:color w:val="9C0006"/>
                <w:sz w:val="22"/>
                <w:szCs w:val="22"/>
              </w:rPr>
              <w:t>-0,2 %</w:t>
            </w:r>
          </w:p>
        </w:tc>
        <w:tc>
          <w:tcPr>
            <w:tcW w:w="2835" w:type="dxa"/>
            <w:vAlign w:val="bottom"/>
          </w:tcPr>
          <w:p w14:paraId="4FBCAFEF" w14:textId="77777777" w:rsidR="005471B1" w:rsidRDefault="005471B1" w:rsidP="00485B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4.401 €</w:t>
            </w:r>
          </w:p>
        </w:tc>
      </w:tr>
      <w:tr w:rsidR="005471B1" w:rsidRPr="00FF6545" w14:paraId="32870841" w14:textId="77777777" w:rsidTr="00485B7F">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3516" w:type="dxa"/>
            <w:vAlign w:val="bottom"/>
          </w:tcPr>
          <w:p w14:paraId="2DE9FA1F" w14:textId="77777777" w:rsidR="005471B1" w:rsidRPr="0069441B" w:rsidRDefault="005471B1" w:rsidP="00485B7F">
            <w:pPr>
              <w:rPr>
                <w:rFonts w:ascii="Arial" w:hAnsi="Arial" w:cs="Arial"/>
                <w:b w:val="0"/>
                <w:sz w:val="22"/>
                <w:szCs w:val="22"/>
              </w:rPr>
            </w:pPr>
            <w:r w:rsidRPr="0069441B">
              <w:rPr>
                <w:rFonts w:ascii="Arial" w:hAnsi="Arial" w:cs="Arial"/>
                <w:b w:val="0"/>
                <w:sz w:val="22"/>
                <w:szCs w:val="22"/>
              </w:rPr>
              <w:t>Vicálvaro</w:t>
            </w:r>
          </w:p>
        </w:tc>
        <w:tc>
          <w:tcPr>
            <w:tcW w:w="2829" w:type="dxa"/>
            <w:vAlign w:val="bottom"/>
          </w:tcPr>
          <w:p w14:paraId="042D462A" w14:textId="77777777" w:rsidR="005471B1" w:rsidRDefault="005471B1" w:rsidP="00485B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9C0006"/>
                <w:sz w:val="22"/>
                <w:szCs w:val="22"/>
              </w:rPr>
            </w:pPr>
            <w:r>
              <w:rPr>
                <w:rFonts w:ascii="Arial" w:hAnsi="Arial" w:cs="Arial"/>
                <w:color w:val="9C0006"/>
                <w:sz w:val="22"/>
                <w:szCs w:val="22"/>
              </w:rPr>
              <w:t>-0,4 %</w:t>
            </w:r>
          </w:p>
        </w:tc>
        <w:tc>
          <w:tcPr>
            <w:tcW w:w="2835" w:type="dxa"/>
            <w:vAlign w:val="bottom"/>
          </w:tcPr>
          <w:p w14:paraId="57E976FF" w14:textId="77777777" w:rsidR="005471B1" w:rsidRDefault="005471B1" w:rsidP="00485B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2.319 €</w:t>
            </w:r>
          </w:p>
        </w:tc>
      </w:tr>
      <w:tr w:rsidR="005471B1" w:rsidRPr="00FF6545" w14:paraId="0ED188BD" w14:textId="77777777" w:rsidTr="00485B7F">
        <w:trPr>
          <w:trHeight w:val="252"/>
        </w:trPr>
        <w:tc>
          <w:tcPr>
            <w:cnfStyle w:val="001000000000" w:firstRow="0" w:lastRow="0" w:firstColumn="1" w:lastColumn="0" w:oddVBand="0" w:evenVBand="0" w:oddHBand="0" w:evenHBand="0" w:firstRowFirstColumn="0" w:firstRowLastColumn="0" w:lastRowFirstColumn="0" w:lastRowLastColumn="0"/>
            <w:tcW w:w="3516" w:type="dxa"/>
            <w:vAlign w:val="bottom"/>
          </w:tcPr>
          <w:p w14:paraId="01546382" w14:textId="77777777" w:rsidR="005471B1" w:rsidRPr="0069441B" w:rsidRDefault="005471B1" w:rsidP="00485B7F">
            <w:pPr>
              <w:rPr>
                <w:rFonts w:ascii="Arial" w:hAnsi="Arial" w:cs="Arial"/>
                <w:b w:val="0"/>
                <w:sz w:val="22"/>
                <w:szCs w:val="22"/>
              </w:rPr>
            </w:pPr>
            <w:r w:rsidRPr="0069441B">
              <w:rPr>
                <w:rFonts w:ascii="Arial" w:hAnsi="Arial" w:cs="Arial"/>
                <w:b w:val="0"/>
                <w:sz w:val="22"/>
                <w:szCs w:val="22"/>
              </w:rPr>
              <w:t>Latina</w:t>
            </w:r>
          </w:p>
        </w:tc>
        <w:tc>
          <w:tcPr>
            <w:tcW w:w="2829" w:type="dxa"/>
            <w:vAlign w:val="bottom"/>
          </w:tcPr>
          <w:p w14:paraId="1D7A270E" w14:textId="77777777" w:rsidR="005471B1" w:rsidRDefault="005471B1" w:rsidP="00485B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9C0006"/>
                <w:sz w:val="22"/>
                <w:szCs w:val="22"/>
              </w:rPr>
            </w:pPr>
            <w:r>
              <w:rPr>
                <w:rFonts w:ascii="Arial" w:hAnsi="Arial" w:cs="Arial"/>
                <w:color w:val="9C0006"/>
                <w:sz w:val="22"/>
                <w:szCs w:val="22"/>
              </w:rPr>
              <w:t>-0,7 %</w:t>
            </w:r>
          </w:p>
        </w:tc>
        <w:tc>
          <w:tcPr>
            <w:tcW w:w="2835" w:type="dxa"/>
            <w:vAlign w:val="bottom"/>
          </w:tcPr>
          <w:p w14:paraId="7238F9BC" w14:textId="77777777" w:rsidR="005471B1" w:rsidRDefault="005471B1" w:rsidP="00485B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2.409 €</w:t>
            </w:r>
          </w:p>
        </w:tc>
      </w:tr>
      <w:tr w:rsidR="005471B1" w:rsidRPr="00FF6545" w14:paraId="37C0150D" w14:textId="77777777" w:rsidTr="00485B7F">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3516" w:type="dxa"/>
            <w:vAlign w:val="bottom"/>
          </w:tcPr>
          <w:p w14:paraId="17777807" w14:textId="77777777" w:rsidR="005471B1" w:rsidRPr="0069441B" w:rsidRDefault="005471B1" w:rsidP="00485B7F">
            <w:pPr>
              <w:rPr>
                <w:rFonts w:ascii="Arial" w:hAnsi="Arial" w:cs="Arial"/>
                <w:b w:val="0"/>
                <w:sz w:val="22"/>
                <w:szCs w:val="22"/>
              </w:rPr>
            </w:pPr>
            <w:r w:rsidRPr="0069441B">
              <w:rPr>
                <w:rFonts w:ascii="Arial" w:hAnsi="Arial" w:cs="Arial"/>
                <w:b w:val="0"/>
                <w:sz w:val="22"/>
                <w:szCs w:val="22"/>
              </w:rPr>
              <w:t>Chamberí</w:t>
            </w:r>
          </w:p>
        </w:tc>
        <w:tc>
          <w:tcPr>
            <w:tcW w:w="2829" w:type="dxa"/>
            <w:vAlign w:val="bottom"/>
          </w:tcPr>
          <w:p w14:paraId="5D447550" w14:textId="77777777" w:rsidR="005471B1" w:rsidRDefault="005471B1" w:rsidP="00485B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9C0006"/>
                <w:sz w:val="22"/>
                <w:szCs w:val="22"/>
              </w:rPr>
            </w:pPr>
            <w:r>
              <w:rPr>
                <w:rFonts w:ascii="Arial" w:hAnsi="Arial" w:cs="Arial"/>
                <w:color w:val="9C0006"/>
                <w:sz w:val="22"/>
                <w:szCs w:val="22"/>
              </w:rPr>
              <w:t>-0,8 %</w:t>
            </w:r>
          </w:p>
        </w:tc>
        <w:tc>
          <w:tcPr>
            <w:tcW w:w="2835" w:type="dxa"/>
            <w:vAlign w:val="bottom"/>
          </w:tcPr>
          <w:p w14:paraId="265576EC" w14:textId="77777777" w:rsidR="005471B1" w:rsidRDefault="005471B1" w:rsidP="00485B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5.398 €</w:t>
            </w:r>
          </w:p>
        </w:tc>
      </w:tr>
      <w:tr w:rsidR="005471B1" w:rsidRPr="00FF6545" w14:paraId="024E2D21" w14:textId="77777777" w:rsidTr="00485B7F">
        <w:trPr>
          <w:trHeight w:val="252"/>
        </w:trPr>
        <w:tc>
          <w:tcPr>
            <w:cnfStyle w:val="001000000000" w:firstRow="0" w:lastRow="0" w:firstColumn="1" w:lastColumn="0" w:oddVBand="0" w:evenVBand="0" w:oddHBand="0" w:evenHBand="0" w:firstRowFirstColumn="0" w:firstRowLastColumn="0" w:lastRowFirstColumn="0" w:lastRowLastColumn="0"/>
            <w:tcW w:w="3516" w:type="dxa"/>
            <w:vAlign w:val="bottom"/>
          </w:tcPr>
          <w:p w14:paraId="5EF45AFA" w14:textId="77777777" w:rsidR="005471B1" w:rsidRPr="0069441B" w:rsidRDefault="005471B1" w:rsidP="00485B7F">
            <w:pPr>
              <w:rPr>
                <w:rFonts w:ascii="Arial" w:hAnsi="Arial" w:cs="Arial"/>
                <w:b w:val="0"/>
                <w:sz w:val="22"/>
                <w:szCs w:val="22"/>
              </w:rPr>
            </w:pPr>
            <w:r w:rsidRPr="0069441B">
              <w:rPr>
                <w:rFonts w:ascii="Arial" w:hAnsi="Arial" w:cs="Arial"/>
                <w:b w:val="0"/>
                <w:sz w:val="22"/>
                <w:szCs w:val="22"/>
              </w:rPr>
              <w:t>Hortaleza</w:t>
            </w:r>
          </w:p>
        </w:tc>
        <w:tc>
          <w:tcPr>
            <w:tcW w:w="2829" w:type="dxa"/>
            <w:vAlign w:val="bottom"/>
          </w:tcPr>
          <w:p w14:paraId="5F531F0E" w14:textId="77777777" w:rsidR="005471B1" w:rsidRDefault="005471B1" w:rsidP="00485B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9C0006"/>
                <w:sz w:val="22"/>
                <w:szCs w:val="22"/>
              </w:rPr>
            </w:pPr>
            <w:r>
              <w:rPr>
                <w:rFonts w:ascii="Arial" w:hAnsi="Arial" w:cs="Arial"/>
                <w:color w:val="9C0006"/>
                <w:sz w:val="22"/>
                <w:szCs w:val="22"/>
              </w:rPr>
              <w:t>-0,9 %</w:t>
            </w:r>
          </w:p>
        </w:tc>
        <w:tc>
          <w:tcPr>
            <w:tcW w:w="2835" w:type="dxa"/>
            <w:vAlign w:val="bottom"/>
          </w:tcPr>
          <w:p w14:paraId="12DB4E0E" w14:textId="77777777" w:rsidR="005471B1" w:rsidRDefault="005471B1" w:rsidP="00485B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3.771 €</w:t>
            </w:r>
          </w:p>
        </w:tc>
      </w:tr>
      <w:tr w:rsidR="005471B1" w:rsidRPr="00FF6545" w14:paraId="360F319D" w14:textId="77777777" w:rsidTr="00485B7F">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3516" w:type="dxa"/>
            <w:vAlign w:val="bottom"/>
          </w:tcPr>
          <w:p w14:paraId="0C260DC1" w14:textId="77777777" w:rsidR="005471B1" w:rsidRPr="0069441B" w:rsidRDefault="005471B1" w:rsidP="00485B7F">
            <w:pPr>
              <w:rPr>
                <w:rFonts w:ascii="Arial" w:hAnsi="Arial" w:cs="Arial"/>
                <w:b w:val="0"/>
                <w:sz w:val="22"/>
                <w:szCs w:val="22"/>
              </w:rPr>
            </w:pPr>
            <w:r w:rsidRPr="0069441B">
              <w:rPr>
                <w:rFonts w:ascii="Arial" w:hAnsi="Arial" w:cs="Arial"/>
                <w:b w:val="0"/>
                <w:sz w:val="22"/>
                <w:szCs w:val="22"/>
              </w:rPr>
              <w:t>Chamartín</w:t>
            </w:r>
          </w:p>
        </w:tc>
        <w:tc>
          <w:tcPr>
            <w:tcW w:w="2829" w:type="dxa"/>
            <w:vAlign w:val="bottom"/>
          </w:tcPr>
          <w:p w14:paraId="2AEA5286" w14:textId="77777777" w:rsidR="005471B1" w:rsidRDefault="005471B1" w:rsidP="00485B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9C0006"/>
                <w:sz w:val="22"/>
                <w:szCs w:val="22"/>
              </w:rPr>
            </w:pPr>
            <w:r>
              <w:rPr>
                <w:rFonts w:ascii="Arial" w:hAnsi="Arial" w:cs="Arial"/>
                <w:color w:val="9C0006"/>
                <w:sz w:val="22"/>
                <w:szCs w:val="22"/>
              </w:rPr>
              <w:t>-0,9 %</w:t>
            </w:r>
          </w:p>
        </w:tc>
        <w:tc>
          <w:tcPr>
            <w:tcW w:w="2835" w:type="dxa"/>
            <w:vAlign w:val="bottom"/>
          </w:tcPr>
          <w:p w14:paraId="7A6CABFE" w14:textId="77777777" w:rsidR="005471B1" w:rsidRDefault="005471B1" w:rsidP="00485B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5.038 €</w:t>
            </w:r>
          </w:p>
        </w:tc>
      </w:tr>
    </w:tbl>
    <w:p w14:paraId="4654AA8C" w14:textId="77777777" w:rsidR="005471B1" w:rsidRDefault="007E7C38" w:rsidP="005471B1">
      <w:pPr>
        <w:pStyle w:val="NormalWeb"/>
        <w:shd w:val="clear" w:color="auto" w:fill="FFFFFF"/>
        <w:spacing w:after="225" w:line="276" w:lineRule="auto"/>
        <w:ind w:right="-574"/>
        <w:jc w:val="both"/>
        <w:rPr>
          <w:rFonts w:ascii="Open Sans" w:hAnsi="Open Sans" w:cs="Open Sans"/>
          <w:color w:val="000000"/>
        </w:rPr>
      </w:pPr>
      <w:r>
        <w:rPr>
          <w:rFonts w:ascii="Open Sans" w:hAnsi="Open Sans" w:cs="Open Sans"/>
          <w:color w:val="000000"/>
        </w:rPr>
        <w:br/>
      </w:r>
      <w:r w:rsidR="005471B1" w:rsidRPr="00395FE0">
        <w:rPr>
          <w:rFonts w:ascii="Open Sans" w:hAnsi="Open Sans" w:cs="Open Sans"/>
          <w:color w:val="000000"/>
        </w:rPr>
        <w:t xml:space="preserve">En la ciudad de Barcelona, </w:t>
      </w:r>
      <w:r w:rsidR="005471B1">
        <w:rPr>
          <w:rFonts w:ascii="Open Sans" w:hAnsi="Open Sans" w:cs="Open Sans"/>
          <w:color w:val="000000"/>
        </w:rPr>
        <w:t>Siete</w:t>
      </w:r>
      <w:r w:rsidR="005471B1" w:rsidRPr="00395FE0">
        <w:rPr>
          <w:rFonts w:ascii="Open Sans" w:hAnsi="Open Sans" w:cs="Open Sans"/>
          <w:color w:val="000000"/>
        </w:rPr>
        <w:t xml:space="preserve"> de los diez distritos analizados por </w:t>
      </w:r>
      <w:hyperlink r:id="rId14" w:history="1">
        <w:r w:rsidR="005471B1" w:rsidRPr="00B10769">
          <w:rPr>
            <w:rStyle w:val="Hipervnculo"/>
            <w:rFonts w:ascii="Open Sans" w:hAnsi="Open Sans" w:cs="Open Sans"/>
            <w:b/>
            <w:bCs/>
          </w:rPr>
          <w:t>Fotocasa</w:t>
        </w:r>
      </w:hyperlink>
      <w:r w:rsidR="005471B1" w:rsidRPr="00395FE0">
        <w:rPr>
          <w:rFonts w:ascii="Open Sans" w:hAnsi="Open Sans" w:cs="Open Sans"/>
          <w:color w:val="000000"/>
        </w:rPr>
        <w:t xml:space="preserve"> incrementan el precio</w:t>
      </w:r>
      <w:r w:rsidR="005471B1">
        <w:rPr>
          <w:rFonts w:ascii="Open Sans" w:hAnsi="Open Sans" w:cs="Open Sans"/>
          <w:color w:val="000000"/>
        </w:rPr>
        <w:t>.</w:t>
      </w:r>
      <w:r w:rsidR="005471B1" w:rsidRPr="00395FE0">
        <w:rPr>
          <w:rFonts w:ascii="Open Sans" w:hAnsi="Open Sans" w:cs="Open Sans"/>
          <w:color w:val="000000"/>
        </w:rPr>
        <w:t xml:space="preserve"> El </w:t>
      </w:r>
      <w:r w:rsidR="005471B1">
        <w:rPr>
          <w:rFonts w:ascii="Open Sans" w:hAnsi="Open Sans" w:cs="Open Sans"/>
          <w:color w:val="000000"/>
        </w:rPr>
        <w:t xml:space="preserve">distrito que más sube es </w:t>
      </w:r>
      <w:r w:rsidR="005471B1" w:rsidRPr="00BE64DF">
        <w:rPr>
          <w:rFonts w:ascii="Open Sans" w:hAnsi="Open Sans" w:cs="Open Sans"/>
          <w:color w:val="000000"/>
        </w:rPr>
        <w:t>Les Corts</w:t>
      </w:r>
      <w:r w:rsidR="005471B1">
        <w:rPr>
          <w:rFonts w:ascii="Open Sans" w:hAnsi="Open Sans" w:cs="Open Sans"/>
          <w:color w:val="000000"/>
        </w:rPr>
        <w:t xml:space="preserve"> con un 2,2%, seguido de </w:t>
      </w:r>
      <w:r w:rsidR="005471B1" w:rsidRPr="00BE64DF">
        <w:rPr>
          <w:rFonts w:ascii="Open Sans" w:hAnsi="Open Sans" w:cs="Open Sans"/>
          <w:color w:val="000000"/>
        </w:rPr>
        <w:t xml:space="preserve">Nou </w:t>
      </w:r>
      <w:proofErr w:type="spellStart"/>
      <w:r w:rsidR="005471B1" w:rsidRPr="00BE64DF">
        <w:rPr>
          <w:rFonts w:ascii="Open Sans" w:hAnsi="Open Sans" w:cs="Open Sans"/>
          <w:color w:val="000000"/>
        </w:rPr>
        <w:t>Barris</w:t>
      </w:r>
      <w:proofErr w:type="spellEnd"/>
      <w:r w:rsidR="005471B1">
        <w:rPr>
          <w:rFonts w:ascii="Open Sans" w:hAnsi="Open Sans" w:cs="Open Sans"/>
          <w:color w:val="000000"/>
        </w:rPr>
        <w:t xml:space="preserve"> con un 0,7% y </w:t>
      </w:r>
      <w:r w:rsidR="005471B1" w:rsidRPr="00F52F22">
        <w:rPr>
          <w:rFonts w:ascii="Open Sans" w:hAnsi="Open Sans" w:cs="Open Sans"/>
          <w:color w:val="000000"/>
        </w:rPr>
        <w:t xml:space="preserve">Sants </w:t>
      </w:r>
      <w:r w:rsidR="005471B1">
        <w:rPr>
          <w:rFonts w:ascii="Open Sans" w:hAnsi="Open Sans" w:cs="Open Sans"/>
          <w:color w:val="000000"/>
        </w:rPr>
        <w:t>–</w:t>
      </w:r>
      <w:r w:rsidR="005471B1" w:rsidRPr="00F52F22">
        <w:rPr>
          <w:rFonts w:ascii="Open Sans" w:hAnsi="Open Sans" w:cs="Open Sans"/>
          <w:color w:val="000000"/>
        </w:rPr>
        <w:t xml:space="preserve"> Montjuïc</w:t>
      </w:r>
      <w:r w:rsidR="005471B1">
        <w:rPr>
          <w:rFonts w:ascii="Open Sans" w:hAnsi="Open Sans" w:cs="Open Sans"/>
          <w:color w:val="000000"/>
        </w:rPr>
        <w:t xml:space="preserve"> con un 0,5% de incremento mensual.</w:t>
      </w:r>
    </w:p>
    <w:p w14:paraId="391FA3A9" w14:textId="6E81AABE" w:rsidR="005471B1" w:rsidRDefault="005471B1" w:rsidP="005471B1">
      <w:pPr>
        <w:pStyle w:val="NormalWeb"/>
        <w:shd w:val="clear" w:color="auto" w:fill="FFFFFF"/>
        <w:spacing w:after="225" w:line="276" w:lineRule="auto"/>
        <w:ind w:right="-574"/>
        <w:jc w:val="both"/>
        <w:rPr>
          <w:rFonts w:ascii="Open Sans" w:hAnsi="Open Sans" w:cs="Open Sans"/>
          <w:color w:val="000000"/>
        </w:rPr>
      </w:pPr>
      <w:r>
        <w:rPr>
          <w:rFonts w:ascii="Open Sans" w:hAnsi="Open Sans" w:cs="Open Sans"/>
          <w:color w:val="000000"/>
        </w:rPr>
        <w:t xml:space="preserve">El distrito más caro para vivir en Barcelona sigue siendo </w:t>
      </w:r>
      <w:r w:rsidRPr="00A0415E">
        <w:rPr>
          <w:rFonts w:ascii="Open Sans" w:hAnsi="Open Sans" w:cs="Open Sans"/>
          <w:color w:val="000000"/>
        </w:rPr>
        <w:t>Sarrià - Sant Gervasi</w:t>
      </w:r>
      <w:r>
        <w:rPr>
          <w:rFonts w:ascii="Open Sans" w:hAnsi="Open Sans" w:cs="Open Sans"/>
          <w:color w:val="000000"/>
        </w:rPr>
        <w:t xml:space="preserve"> con un precio de 5.636 €/m</w:t>
      </w:r>
      <w:r w:rsidRPr="00F52F22">
        <w:rPr>
          <w:rFonts w:ascii="Open Sans" w:hAnsi="Open Sans" w:cs="Open Sans"/>
          <w:color w:val="000000"/>
          <w:vertAlign w:val="superscript"/>
        </w:rPr>
        <w:t>2</w:t>
      </w:r>
      <w:r>
        <w:rPr>
          <w:rFonts w:ascii="Open Sans" w:hAnsi="Open Sans" w:cs="Open Sans"/>
          <w:color w:val="000000"/>
        </w:rPr>
        <w:t xml:space="preserve"> y a tan solo 10km se encuentra el más económico, Nou </w:t>
      </w:r>
      <w:proofErr w:type="spellStart"/>
      <w:r>
        <w:rPr>
          <w:rFonts w:ascii="Open Sans" w:hAnsi="Open Sans" w:cs="Open Sans"/>
          <w:color w:val="000000"/>
        </w:rPr>
        <w:t>Barris</w:t>
      </w:r>
      <w:proofErr w:type="spellEnd"/>
      <w:r>
        <w:rPr>
          <w:rFonts w:ascii="Open Sans" w:hAnsi="Open Sans" w:cs="Open Sans"/>
          <w:color w:val="000000"/>
        </w:rPr>
        <w:t xml:space="preserve"> con un precio de 2.643 €/m</w:t>
      </w:r>
      <w:r w:rsidRPr="00FF6545">
        <w:rPr>
          <w:rFonts w:ascii="Open Sans" w:hAnsi="Open Sans" w:cs="Open Sans"/>
          <w:color w:val="000000"/>
          <w:vertAlign w:val="superscript"/>
        </w:rPr>
        <w:t>2</w:t>
      </w:r>
      <w:r>
        <w:rPr>
          <w:rFonts w:ascii="Open Sans" w:hAnsi="Open Sans" w:cs="Open Sans"/>
          <w:color w:val="000000"/>
        </w:rPr>
        <w:t xml:space="preserve">. </w:t>
      </w:r>
    </w:p>
    <w:p w14:paraId="7150E126" w14:textId="56AF59E4" w:rsidR="00156D22" w:rsidRPr="00156D22" w:rsidRDefault="00156D22" w:rsidP="00156D22">
      <w:pPr>
        <w:spacing w:line="276" w:lineRule="auto"/>
        <w:ind w:right="-574"/>
        <w:jc w:val="center"/>
        <w:rPr>
          <w:rFonts w:ascii="Open Sans Light" w:hAnsi="Open Sans Light" w:cs="Open Sans Light"/>
          <w:b/>
          <w:iCs/>
          <w:color w:val="303AB2"/>
          <w:sz w:val="26"/>
          <w:szCs w:val="26"/>
          <w:lang w:val="es-ES"/>
        </w:rPr>
      </w:pPr>
      <w:r w:rsidRPr="00156D22">
        <w:rPr>
          <w:rFonts w:ascii="Open Sans Light" w:hAnsi="Open Sans Light" w:cs="Open Sans Light"/>
          <w:b/>
          <w:iCs/>
          <w:color w:val="303AB2"/>
          <w:sz w:val="26"/>
          <w:szCs w:val="26"/>
          <w:lang w:val="es-ES"/>
        </w:rPr>
        <w:t xml:space="preserve">Precio y variación distritos de </w:t>
      </w:r>
      <w:r>
        <w:rPr>
          <w:rFonts w:ascii="Open Sans Light" w:hAnsi="Open Sans Light" w:cs="Open Sans Light"/>
          <w:b/>
          <w:iCs/>
          <w:color w:val="303AB2"/>
          <w:sz w:val="26"/>
          <w:szCs w:val="26"/>
          <w:lang w:val="es-ES"/>
        </w:rPr>
        <w:t>Barcelona</w:t>
      </w:r>
    </w:p>
    <w:tbl>
      <w:tblPr>
        <w:tblStyle w:val="Tabladecuadrcula5oscura-nfasis11"/>
        <w:tblW w:w="9180" w:type="dxa"/>
        <w:tblInd w:w="108" w:type="dxa"/>
        <w:tblLook w:val="04A0" w:firstRow="1" w:lastRow="0" w:firstColumn="1" w:lastColumn="0" w:noHBand="0" w:noVBand="1"/>
      </w:tblPr>
      <w:tblGrid>
        <w:gridCol w:w="3516"/>
        <w:gridCol w:w="2829"/>
        <w:gridCol w:w="2835"/>
      </w:tblGrid>
      <w:tr w:rsidR="005471B1" w:rsidRPr="00FF6545" w14:paraId="400E037B" w14:textId="77777777" w:rsidTr="00485B7F">
        <w:trPr>
          <w:cnfStyle w:val="100000000000" w:firstRow="1" w:lastRow="0" w:firstColumn="0" w:lastColumn="0" w:oddVBand="0" w:evenVBand="0" w:oddHBand="0"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3516" w:type="dxa"/>
            <w:vAlign w:val="center"/>
          </w:tcPr>
          <w:p w14:paraId="0DD66C54" w14:textId="77777777" w:rsidR="005471B1" w:rsidRPr="00FF6545" w:rsidRDefault="005471B1" w:rsidP="00485B7F">
            <w:pPr>
              <w:jc w:val="center"/>
              <w:rPr>
                <w:rFonts w:ascii="Open Sans Light" w:hAnsi="Open Sans Light" w:cs="Open Sans Light"/>
                <w:iCs/>
                <w:sz w:val="22"/>
                <w:szCs w:val="22"/>
                <w:lang w:val="es-ES"/>
              </w:rPr>
            </w:pPr>
            <w:r w:rsidRPr="00FF6545">
              <w:rPr>
                <w:rFonts w:ascii="Open Sans Light" w:hAnsi="Open Sans Light" w:cs="Open Sans Light"/>
                <w:iCs/>
                <w:sz w:val="22"/>
                <w:szCs w:val="22"/>
                <w:lang w:val="es-ES"/>
              </w:rPr>
              <w:t>Distritos</w:t>
            </w:r>
          </w:p>
        </w:tc>
        <w:tc>
          <w:tcPr>
            <w:tcW w:w="2829" w:type="dxa"/>
            <w:vAlign w:val="center"/>
          </w:tcPr>
          <w:p w14:paraId="76069580" w14:textId="77777777" w:rsidR="005471B1" w:rsidRPr="00FF6545" w:rsidRDefault="005471B1" w:rsidP="00485B7F">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cs="Open Sans Light"/>
                <w:sz w:val="22"/>
                <w:szCs w:val="22"/>
                <w:lang w:val="es-ES"/>
              </w:rPr>
            </w:pPr>
            <w:r w:rsidRPr="00FF6545">
              <w:rPr>
                <w:rFonts w:ascii="Open Sans Light" w:hAnsi="Open Sans Light" w:cs="Open Sans Light"/>
                <w:sz w:val="22"/>
                <w:szCs w:val="22"/>
                <w:lang w:val="es-ES"/>
              </w:rPr>
              <w:t>Variación</w:t>
            </w:r>
          </w:p>
          <w:p w14:paraId="75A2382C" w14:textId="77777777" w:rsidR="005471B1" w:rsidRPr="00FF6545" w:rsidRDefault="005471B1" w:rsidP="00485B7F">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cs="Open Sans Light"/>
                <w:sz w:val="22"/>
                <w:szCs w:val="22"/>
                <w:lang w:val="es-ES"/>
              </w:rPr>
            </w:pPr>
            <w:r w:rsidRPr="00FF6545">
              <w:rPr>
                <w:rFonts w:ascii="Open Sans Light" w:hAnsi="Open Sans Light" w:cs="Open Sans Light"/>
                <w:sz w:val="22"/>
                <w:szCs w:val="22"/>
                <w:lang w:val="es-ES"/>
              </w:rPr>
              <w:t>mensual (%)</w:t>
            </w:r>
          </w:p>
        </w:tc>
        <w:tc>
          <w:tcPr>
            <w:tcW w:w="2835" w:type="dxa"/>
            <w:vAlign w:val="center"/>
          </w:tcPr>
          <w:p w14:paraId="6B51E6BE" w14:textId="77777777" w:rsidR="005471B1" w:rsidRPr="00FF6545" w:rsidRDefault="005471B1" w:rsidP="00485B7F">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cs="Open Sans Light"/>
                <w:sz w:val="22"/>
                <w:szCs w:val="22"/>
                <w:lang w:val="es-ES"/>
              </w:rPr>
            </w:pPr>
            <w:r>
              <w:rPr>
                <w:rFonts w:ascii="Open Sans Light" w:hAnsi="Open Sans Light" w:cs="Open Sans Light"/>
                <w:sz w:val="22"/>
                <w:szCs w:val="22"/>
                <w:lang w:val="es-ES"/>
              </w:rPr>
              <w:t>Abril</w:t>
            </w:r>
            <w:r w:rsidRPr="00A1471D">
              <w:rPr>
                <w:rFonts w:ascii="Open Sans Light" w:hAnsi="Open Sans Light" w:cs="Open Sans Light"/>
                <w:sz w:val="22"/>
                <w:szCs w:val="22"/>
                <w:lang w:val="es-ES"/>
              </w:rPr>
              <w:t xml:space="preserve"> </w:t>
            </w:r>
            <w:r w:rsidRPr="00FF6545">
              <w:rPr>
                <w:rFonts w:ascii="Open Sans Light" w:hAnsi="Open Sans Light" w:cs="Open Sans Light"/>
                <w:sz w:val="22"/>
                <w:szCs w:val="22"/>
                <w:lang w:val="es-ES"/>
              </w:rPr>
              <w:t>2019</w:t>
            </w:r>
            <w:r w:rsidRPr="00FF6545">
              <w:rPr>
                <w:rFonts w:ascii="Open Sans Light" w:hAnsi="Open Sans Light" w:cs="Open Sans Light"/>
                <w:sz w:val="22"/>
                <w:szCs w:val="22"/>
                <w:lang w:val="es-ES"/>
              </w:rPr>
              <w:br/>
              <w:t>(€/m</w:t>
            </w:r>
            <w:r w:rsidRPr="00F52F22">
              <w:rPr>
                <w:rFonts w:ascii="Open Sans Light" w:hAnsi="Open Sans Light" w:cs="Open Sans Light"/>
                <w:sz w:val="22"/>
                <w:szCs w:val="22"/>
                <w:vertAlign w:val="superscript"/>
                <w:lang w:val="es-ES"/>
              </w:rPr>
              <w:t>2</w:t>
            </w:r>
            <w:r w:rsidRPr="00FF6545">
              <w:rPr>
                <w:rFonts w:ascii="Open Sans Light" w:hAnsi="Open Sans Light" w:cs="Open Sans Light"/>
                <w:sz w:val="22"/>
                <w:szCs w:val="22"/>
                <w:lang w:val="es-ES"/>
              </w:rPr>
              <w:t>)</w:t>
            </w:r>
          </w:p>
        </w:tc>
      </w:tr>
      <w:tr w:rsidR="005471B1" w:rsidRPr="00FF6545" w14:paraId="3CD2CAE1" w14:textId="77777777" w:rsidTr="00485B7F">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3516" w:type="dxa"/>
            <w:vAlign w:val="bottom"/>
          </w:tcPr>
          <w:p w14:paraId="74A85448" w14:textId="77777777" w:rsidR="005471B1" w:rsidRPr="00BE64DF" w:rsidRDefault="005471B1" w:rsidP="00485B7F">
            <w:pPr>
              <w:rPr>
                <w:rFonts w:ascii="Arial" w:hAnsi="Arial" w:cs="Arial"/>
                <w:b w:val="0"/>
                <w:sz w:val="22"/>
                <w:szCs w:val="22"/>
              </w:rPr>
            </w:pPr>
            <w:r w:rsidRPr="00BE64DF">
              <w:rPr>
                <w:rFonts w:ascii="Arial" w:hAnsi="Arial" w:cs="Arial"/>
                <w:b w:val="0"/>
                <w:sz w:val="22"/>
                <w:szCs w:val="22"/>
              </w:rPr>
              <w:t>Les Corts</w:t>
            </w:r>
          </w:p>
        </w:tc>
        <w:tc>
          <w:tcPr>
            <w:tcW w:w="2829" w:type="dxa"/>
            <w:vAlign w:val="bottom"/>
          </w:tcPr>
          <w:p w14:paraId="78B63CBF" w14:textId="77777777" w:rsidR="005471B1" w:rsidRDefault="005471B1" w:rsidP="00485B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2,2 %</w:t>
            </w:r>
          </w:p>
        </w:tc>
        <w:tc>
          <w:tcPr>
            <w:tcW w:w="2835" w:type="dxa"/>
            <w:vAlign w:val="bottom"/>
          </w:tcPr>
          <w:p w14:paraId="02456F7D" w14:textId="77777777" w:rsidR="005471B1" w:rsidRDefault="005471B1" w:rsidP="00485B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4.983 €</w:t>
            </w:r>
          </w:p>
        </w:tc>
      </w:tr>
      <w:tr w:rsidR="005471B1" w:rsidRPr="00FF6545" w14:paraId="641CDECF" w14:textId="77777777" w:rsidTr="00485B7F">
        <w:trPr>
          <w:trHeight w:val="265"/>
        </w:trPr>
        <w:tc>
          <w:tcPr>
            <w:cnfStyle w:val="001000000000" w:firstRow="0" w:lastRow="0" w:firstColumn="1" w:lastColumn="0" w:oddVBand="0" w:evenVBand="0" w:oddHBand="0" w:evenHBand="0" w:firstRowFirstColumn="0" w:firstRowLastColumn="0" w:lastRowFirstColumn="0" w:lastRowLastColumn="0"/>
            <w:tcW w:w="3516" w:type="dxa"/>
            <w:vAlign w:val="bottom"/>
          </w:tcPr>
          <w:p w14:paraId="7DBDE39E" w14:textId="77777777" w:rsidR="005471B1" w:rsidRPr="00BE64DF" w:rsidRDefault="005471B1" w:rsidP="00485B7F">
            <w:pPr>
              <w:rPr>
                <w:rFonts w:ascii="Arial" w:hAnsi="Arial" w:cs="Arial"/>
                <w:b w:val="0"/>
                <w:sz w:val="22"/>
                <w:szCs w:val="22"/>
              </w:rPr>
            </w:pPr>
            <w:r w:rsidRPr="00BE64DF">
              <w:rPr>
                <w:rFonts w:ascii="Arial" w:hAnsi="Arial" w:cs="Arial"/>
                <w:b w:val="0"/>
                <w:sz w:val="22"/>
                <w:szCs w:val="22"/>
              </w:rPr>
              <w:t xml:space="preserve">Nou </w:t>
            </w:r>
            <w:proofErr w:type="spellStart"/>
            <w:r w:rsidRPr="00BE64DF">
              <w:rPr>
                <w:rFonts w:ascii="Arial" w:hAnsi="Arial" w:cs="Arial"/>
                <w:b w:val="0"/>
                <w:sz w:val="22"/>
                <w:szCs w:val="22"/>
              </w:rPr>
              <w:t>Barris</w:t>
            </w:r>
            <w:proofErr w:type="spellEnd"/>
          </w:p>
        </w:tc>
        <w:tc>
          <w:tcPr>
            <w:tcW w:w="2829" w:type="dxa"/>
            <w:vAlign w:val="bottom"/>
          </w:tcPr>
          <w:p w14:paraId="78D218FC" w14:textId="77777777" w:rsidR="005471B1" w:rsidRDefault="005471B1" w:rsidP="00485B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0,7 %</w:t>
            </w:r>
          </w:p>
        </w:tc>
        <w:tc>
          <w:tcPr>
            <w:tcW w:w="2835" w:type="dxa"/>
            <w:vAlign w:val="bottom"/>
          </w:tcPr>
          <w:p w14:paraId="2F156DAA" w14:textId="77777777" w:rsidR="005471B1" w:rsidRDefault="005471B1" w:rsidP="00485B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2.643 €</w:t>
            </w:r>
          </w:p>
        </w:tc>
      </w:tr>
      <w:tr w:rsidR="005471B1" w:rsidRPr="00FF6545" w14:paraId="73283AB6" w14:textId="77777777" w:rsidTr="00485B7F">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3516" w:type="dxa"/>
            <w:vAlign w:val="bottom"/>
          </w:tcPr>
          <w:p w14:paraId="429C930D" w14:textId="77777777" w:rsidR="005471B1" w:rsidRPr="00BE64DF" w:rsidRDefault="005471B1" w:rsidP="00485B7F">
            <w:pPr>
              <w:rPr>
                <w:rFonts w:ascii="Arial" w:hAnsi="Arial" w:cs="Arial"/>
                <w:b w:val="0"/>
                <w:sz w:val="22"/>
                <w:szCs w:val="22"/>
              </w:rPr>
            </w:pPr>
            <w:r w:rsidRPr="00BE64DF">
              <w:rPr>
                <w:rFonts w:ascii="Arial" w:hAnsi="Arial" w:cs="Arial"/>
                <w:b w:val="0"/>
                <w:sz w:val="22"/>
                <w:szCs w:val="22"/>
              </w:rPr>
              <w:t>Sants - Montjuïc</w:t>
            </w:r>
          </w:p>
        </w:tc>
        <w:tc>
          <w:tcPr>
            <w:tcW w:w="2829" w:type="dxa"/>
            <w:vAlign w:val="bottom"/>
          </w:tcPr>
          <w:p w14:paraId="0BC22A20" w14:textId="77777777" w:rsidR="005471B1" w:rsidRDefault="005471B1" w:rsidP="00485B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0,5 %</w:t>
            </w:r>
          </w:p>
        </w:tc>
        <w:tc>
          <w:tcPr>
            <w:tcW w:w="2835" w:type="dxa"/>
            <w:vAlign w:val="bottom"/>
          </w:tcPr>
          <w:p w14:paraId="32D6BD48" w14:textId="77777777" w:rsidR="005471B1" w:rsidRDefault="005471B1" w:rsidP="00485B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3.973 €</w:t>
            </w:r>
          </w:p>
        </w:tc>
      </w:tr>
      <w:tr w:rsidR="005471B1" w:rsidRPr="00FF6545" w14:paraId="6DD551A0" w14:textId="77777777" w:rsidTr="00485B7F">
        <w:trPr>
          <w:trHeight w:val="252"/>
        </w:trPr>
        <w:tc>
          <w:tcPr>
            <w:cnfStyle w:val="001000000000" w:firstRow="0" w:lastRow="0" w:firstColumn="1" w:lastColumn="0" w:oddVBand="0" w:evenVBand="0" w:oddHBand="0" w:evenHBand="0" w:firstRowFirstColumn="0" w:firstRowLastColumn="0" w:lastRowFirstColumn="0" w:lastRowLastColumn="0"/>
            <w:tcW w:w="3516" w:type="dxa"/>
            <w:vAlign w:val="bottom"/>
          </w:tcPr>
          <w:p w14:paraId="696143DD" w14:textId="77777777" w:rsidR="005471B1" w:rsidRPr="00BE64DF" w:rsidRDefault="005471B1" w:rsidP="00485B7F">
            <w:pPr>
              <w:rPr>
                <w:rFonts w:ascii="Arial" w:hAnsi="Arial" w:cs="Arial"/>
                <w:b w:val="0"/>
                <w:sz w:val="22"/>
                <w:szCs w:val="22"/>
              </w:rPr>
            </w:pPr>
            <w:r w:rsidRPr="00BE64DF">
              <w:rPr>
                <w:rFonts w:ascii="Arial" w:hAnsi="Arial" w:cs="Arial"/>
                <w:b w:val="0"/>
                <w:sz w:val="22"/>
                <w:szCs w:val="22"/>
              </w:rPr>
              <w:t>Eixample</w:t>
            </w:r>
          </w:p>
        </w:tc>
        <w:tc>
          <w:tcPr>
            <w:tcW w:w="2829" w:type="dxa"/>
            <w:vAlign w:val="bottom"/>
          </w:tcPr>
          <w:p w14:paraId="537556EA" w14:textId="77777777" w:rsidR="005471B1" w:rsidRDefault="005471B1" w:rsidP="00485B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0,4 %</w:t>
            </w:r>
          </w:p>
        </w:tc>
        <w:tc>
          <w:tcPr>
            <w:tcW w:w="2835" w:type="dxa"/>
            <w:vAlign w:val="bottom"/>
          </w:tcPr>
          <w:p w14:paraId="579442D9" w14:textId="77777777" w:rsidR="005471B1" w:rsidRDefault="005471B1" w:rsidP="00485B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5.158 €</w:t>
            </w:r>
          </w:p>
        </w:tc>
      </w:tr>
      <w:tr w:rsidR="005471B1" w:rsidRPr="00FF6545" w14:paraId="3E9FD26F" w14:textId="77777777" w:rsidTr="00485B7F">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3516" w:type="dxa"/>
            <w:vAlign w:val="bottom"/>
          </w:tcPr>
          <w:p w14:paraId="2BA95C50" w14:textId="77777777" w:rsidR="005471B1" w:rsidRPr="00BE64DF" w:rsidRDefault="005471B1" w:rsidP="00485B7F">
            <w:pPr>
              <w:rPr>
                <w:rFonts w:ascii="Arial" w:hAnsi="Arial" w:cs="Arial"/>
                <w:b w:val="0"/>
                <w:sz w:val="22"/>
                <w:szCs w:val="22"/>
              </w:rPr>
            </w:pPr>
            <w:r w:rsidRPr="00BE64DF">
              <w:rPr>
                <w:rFonts w:ascii="Arial" w:hAnsi="Arial" w:cs="Arial"/>
                <w:b w:val="0"/>
                <w:sz w:val="22"/>
                <w:szCs w:val="22"/>
              </w:rPr>
              <w:t>Sant Andreu</w:t>
            </w:r>
          </w:p>
        </w:tc>
        <w:tc>
          <w:tcPr>
            <w:tcW w:w="2829" w:type="dxa"/>
            <w:vAlign w:val="bottom"/>
          </w:tcPr>
          <w:p w14:paraId="1B474633" w14:textId="77777777" w:rsidR="005471B1" w:rsidRDefault="005471B1" w:rsidP="00485B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0,4 %</w:t>
            </w:r>
          </w:p>
        </w:tc>
        <w:tc>
          <w:tcPr>
            <w:tcW w:w="2835" w:type="dxa"/>
            <w:vAlign w:val="bottom"/>
          </w:tcPr>
          <w:p w14:paraId="185CE3E7" w14:textId="77777777" w:rsidR="005471B1" w:rsidRDefault="005471B1" w:rsidP="00485B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3.249 €</w:t>
            </w:r>
          </w:p>
        </w:tc>
      </w:tr>
      <w:tr w:rsidR="005471B1" w:rsidRPr="00FF6545" w14:paraId="39B8479A" w14:textId="77777777" w:rsidTr="00485B7F">
        <w:trPr>
          <w:trHeight w:val="252"/>
        </w:trPr>
        <w:tc>
          <w:tcPr>
            <w:cnfStyle w:val="001000000000" w:firstRow="0" w:lastRow="0" w:firstColumn="1" w:lastColumn="0" w:oddVBand="0" w:evenVBand="0" w:oddHBand="0" w:evenHBand="0" w:firstRowFirstColumn="0" w:firstRowLastColumn="0" w:lastRowFirstColumn="0" w:lastRowLastColumn="0"/>
            <w:tcW w:w="3516" w:type="dxa"/>
            <w:vAlign w:val="bottom"/>
          </w:tcPr>
          <w:p w14:paraId="1458CB09" w14:textId="77777777" w:rsidR="005471B1" w:rsidRPr="00BE64DF" w:rsidRDefault="005471B1" w:rsidP="00485B7F">
            <w:pPr>
              <w:rPr>
                <w:rFonts w:ascii="Arial" w:hAnsi="Arial" w:cs="Arial"/>
                <w:b w:val="0"/>
                <w:sz w:val="22"/>
                <w:szCs w:val="22"/>
              </w:rPr>
            </w:pPr>
            <w:r w:rsidRPr="00BE64DF">
              <w:rPr>
                <w:rFonts w:ascii="Arial" w:hAnsi="Arial" w:cs="Arial"/>
                <w:b w:val="0"/>
                <w:sz w:val="22"/>
                <w:szCs w:val="22"/>
              </w:rPr>
              <w:t>Sant Martí</w:t>
            </w:r>
          </w:p>
        </w:tc>
        <w:tc>
          <w:tcPr>
            <w:tcW w:w="2829" w:type="dxa"/>
            <w:vAlign w:val="bottom"/>
          </w:tcPr>
          <w:p w14:paraId="2D71E286" w14:textId="77777777" w:rsidR="005471B1" w:rsidRDefault="005471B1" w:rsidP="00485B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0,2 %</w:t>
            </w:r>
          </w:p>
        </w:tc>
        <w:tc>
          <w:tcPr>
            <w:tcW w:w="2835" w:type="dxa"/>
            <w:vAlign w:val="bottom"/>
          </w:tcPr>
          <w:p w14:paraId="050C08BF" w14:textId="77777777" w:rsidR="005471B1" w:rsidRDefault="005471B1" w:rsidP="00485B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4.083 €</w:t>
            </w:r>
          </w:p>
        </w:tc>
      </w:tr>
      <w:tr w:rsidR="005471B1" w:rsidRPr="00FF6545" w14:paraId="485D2CB9" w14:textId="77777777" w:rsidTr="00485B7F">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3516" w:type="dxa"/>
            <w:vAlign w:val="bottom"/>
          </w:tcPr>
          <w:p w14:paraId="6D9FABF8" w14:textId="77777777" w:rsidR="005471B1" w:rsidRPr="00BE64DF" w:rsidRDefault="005471B1" w:rsidP="00485B7F">
            <w:pPr>
              <w:rPr>
                <w:rFonts w:ascii="Arial" w:hAnsi="Arial" w:cs="Arial"/>
                <w:b w:val="0"/>
                <w:sz w:val="22"/>
                <w:szCs w:val="22"/>
              </w:rPr>
            </w:pPr>
            <w:r w:rsidRPr="00BE64DF">
              <w:rPr>
                <w:rFonts w:ascii="Arial" w:hAnsi="Arial" w:cs="Arial"/>
                <w:b w:val="0"/>
                <w:sz w:val="22"/>
                <w:szCs w:val="22"/>
              </w:rPr>
              <w:t>Horta - Guinardó</w:t>
            </w:r>
          </w:p>
        </w:tc>
        <w:tc>
          <w:tcPr>
            <w:tcW w:w="2829" w:type="dxa"/>
            <w:vAlign w:val="bottom"/>
          </w:tcPr>
          <w:p w14:paraId="21953ECF" w14:textId="77777777" w:rsidR="005471B1" w:rsidRDefault="005471B1" w:rsidP="00485B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0,01 %</w:t>
            </w:r>
          </w:p>
        </w:tc>
        <w:tc>
          <w:tcPr>
            <w:tcW w:w="2835" w:type="dxa"/>
            <w:vAlign w:val="bottom"/>
          </w:tcPr>
          <w:p w14:paraId="75974C75" w14:textId="77777777" w:rsidR="005471B1" w:rsidRDefault="005471B1" w:rsidP="00485B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3.273 €</w:t>
            </w:r>
          </w:p>
        </w:tc>
      </w:tr>
      <w:tr w:rsidR="005471B1" w:rsidRPr="00FF6545" w14:paraId="6316BE6E" w14:textId="77777777" w:rsidTr="00485B7F">
        <w:trPr>
          <w:trHeight w:val="265"/>
        </w:trPr>
        <w:tc>
          <w:tcPr>
            <w:cnfStyle w:val="001000000000" w:firstRow="0" w:lastRow="0" w:firstColumn="1" w:lastColumn="0" w:oddVBand="0" w:evenVBand="0" w:oddHBand="0" w:evenHBand="0" w:firstRowFirstColumn="0" w:firstRowLastColumn="0" w:lastRowFirstColumn="0" w:lastRowLastColumn="0"/>
            <w:tcW w:w="3516" w:type="dxa"/>
            <w:vAlign w:val="bottom"/>
          </w:tcPr>
          <w:p w14:paraId="398997BD" w14:textId="77777777" w:rsidR="005471B1" w:rsidRPr="00BE64DF" w:rsidRDefault="005471B1" w:rsidP="00485B7F">
            <w:pPr>
              <w:rPr>
                <w:rFonts w:ascii="Arial" w:hAnsi="Arial" w:cs="Arial"/>
                <w:b w:val="0"/>
                <w:sz w:val="22"/>
                <w:szCs w:val="22"/>
              </w:rPr>
            </w:pPr>
            <w:proofErr w:type="spellStart"/>
            <w:r w:rsidRPr="00BE64DF">
              <w:rPr>
                <w:rFonts w:ascii="Arial" w:hAnsi="Arial" w:cs="Arial"/>
                <w:b w:val="0"/>
                <w:sz w:val="22"/>
                <w:szCs w:val="22"/>
              </w:rPr>
              <w:t>Ciutat</w:t>
            </w:r>
            <w:proofErr w:type="spellEnd"/>
            <w:r w:rsidRPr="00BE64DF">
              <w:rPr>
                <w:rFonts w:ascii="Arial" w:hAnsi="Arial" w:cs="Arial"/>
                <w:b w:val="0"/>
                <w:sz w:val="22"/>
                <w:szCs w:val="22"/>
              </w:rPr>
              <w:t xml:space="preserve"> Vella</w:t>
            </w:r>
          </w:p>
        </w:tc>
        <w:tc>
          <w:tcPr>
            <w:tcW w:w="2829" w:type="dxa"/>
            <w:vAlign w:val="bottom"/>
          </w:tcPr>
          <w:p w14:paraId="6E8F0207" w14:textId="77777777" w:rsidR="005471B1" w:rsidRDefault="005471B1" w:rsidP="00485B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9C0006"/>
                <w:sz w:val="22"/>
                <w:szCs w:val="22"/>
              </w:rPr>
            </w:pPr>
            <w:r>
              <w:rPr>
                <w:rFonts w:ascii="Arial" w:hAnsi="Arial" w:cs="Arial"/>
                <w:color w:val="9C0006"/>
                <w:sz w:val="22"/>
                <w:szCs w:val="22"/>
              </w:rPr>
              <w:t>-0,02 %</w:t>
            </w:r>
          </w:p>
        </w:tc>
        <w:tc>
          <w:tcPr>
            <w:tcW w:w="2835" w:type="dxa"/>
            <w:vAlign w:val="bottom"/>
          </w:tcPr>
          <w:p w14:paraId="7F4DB49C" w14:textId="77777777" w:rsidR="005471B1" w:rsidRDefault="005471B1" w:rsidP="00485B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4.630 €</w:t>
            </w:r>
          </w:p>
        </w:tc>
      </w:tr>
      <w:tr w:rsidR="005471B1" w:rsidRPr="00FF6545" w14:paraId="0465200C" w14:textId="77777777" w:rsidTr="00485B7F">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3516" w:type="dxa"/>
            <w:vAlign w:val="bottom"/>
          </w:tcPr>
          <w:p w14:paraId="7A94623E" w14:textId="77777777" w:rsidR="005471B1" w:rsidRPr="00BE64DF" w:rsidRDefault="005471B1" w:rsidP="00485B7F">
            <w:pPr>
              <w:rPr>
                <w:rFonts w:ascii="Arial" w:hAnsi="Arial" w:cs="Arial"/>
                <w:b w:val="0"/>
                <w:sz w:val="22"/>
                <w:szCs w:val="22"/>
              </w:rPr>
            </w:pPr>
            <w:r w:rsidRPr="00BE64DF">
              <w:rPr>
                <w:rFonts w:ascii="Arial" w:hAnsi="Arial" w:cs="Arial"/>
                <w:b w:val="0"/>
                <w:sz w:val="22"/>
                <w:szCs w:val="22"/>
              </w:rPr>
              <w:t>Gràcia</w:t>
            </w:r>
          </w:p>
        </w:tc>
        <w:tc>
          <w:tcPr>
            <w:tcW w:w="2829" w:type="dxa"/>
            <w:vAlign w:val="bottom"/>
          </w:tcPr>
          <w:p w14:paraId="2989CE06" w14:textId="77777777" w:rsidR="005471B1" w:rsidRDefault="005471B1" w:rsidP="00485B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9C0006"/>
                <w:sz w:val="22"/>
                <w:szCs w:val="22"/>
              </w:rPr>
            </w:pPr>
            <w:r>
              <w:rPr>
                <w:rFonts w:ascii="Arial" w:hAnsi="Arial" w:cs="Arial"/>
                <w:color w:val="9C0006"/>
                <w:sz w:val="22"/>
                <w:szCs w:val="22"/>
              </w:rPr>
              <w:t>-0,7 %</w:t>
            </w:r>
          </w:p>
        </w:tc>
        <w:tc>
          <w:tcPr>
            <w:tcW w:w="2835" w:type="dxa"/>
            <w:vAlign w:val="bottom"/>
          </w:tcPr>
          <w:p w14:paraId="26B18C6E" w14:textId="77777777" w:rsidR="005471B1" w:rsidRDefault="005471B1" w:rsidP="00485B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4.609 €</w:t>
            </w:r>
          </w:p>
        </w:tc>
      </w:tr>
      <w:tr w:rsidR="005471B1" w:rsidRPr="00FF6545" w14:paraId="23340F9C" w14:textId="77777777" w:rsidTr="00485B7F">
        <w:trPr>
          <w:trHeight w:val="47"/>
        </w:trPr>
        <w:tc>
          <w:tcPr>
            <w:cnfStyle w:val="001000000000" w:firstRow="0" w:lastRow="0" w:firstColumn="1" w:lastColumn="0" w:oddVBand="0" w:evenVBand="0" w:oddHBand="0" w:evenHBand="0" w:firstRowFirstColumn="0" w:firstRowLastColumn="0" w:lastRowFirstColumn="0" w:lastRowLastColumn="0"/>
            <w:tcW w:w="3516" w:type="dxa"/>
            <w:vAlign w:val="bottom"/>
          </w:tcPr>
          <w:p w14:paraId="368B15CC" w14:textId="77777777" w:rsidR="005471B1" w:rsidRPr="00BE64DF" w:rsidRDefault="005471B1" w:rsidP="00485B7F">
            <w:pPr>
              <w:rPr>
                <w:rFonts w:ascii="Arial" w:hAnsi="Arial" w:cs="Arial"/>
                <w:b w:val="0"/>
                <w:sz w:val="22"/>
                <w:szCs w:val="22"/>
              </w:rPr>
            </w:pPr>
            <w:r w:rsidRPr="00BE64DF">
              <w:rPr>
                <w:rFonts w:ascii="Arial" w:hAnsi="Arial" w:cs="Arial"/>
                <w:b w:val="0"/>
                <w:sz w:val="22"/>
                <w:szCs w:val="22"/>
              </w:rPr>
              <w:t>Sarrià - Sant Gervasi</w:t>
            </w:r>
          </w:p>
        </w:tc>
        <w:tc>
          <w:tcPr>
            <w:tcW w:w="2829" w:type="dxa"/>
            <w:vAlign w:val="bottom"/>
          </w:tcPr>
          <w:p w14:paraId="10CFF7BF" w14:textId="77777777" w:rsidR="005471B1" w:rsidRDefault="005471B1" w:rsidP="00485B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9C0006"/>
                <w:sz w:val="22"/>
                <w:szCs w:val="22"/>
              </w:rPr>
            </w:pPr>
            <w:r>
              <w:rPr>
                <w:rFonts w:ascii="Arial" w:hAnsi="Arial" w:cs="Arial"/>
                <w:color w:val="9C0006"/>
                <w:sz w:val="22"/>
                <w:szCs w:val="22"/>
              </w:rPr>
              <w:t>-1,1 %</w:t>
            </w:r>
          </w:p>
        </w:tc>
        <w:tc>
          <w:tcPr>
            <w:tcW w:w="2835" w:type="dxa"/>
            <w:vAlign w:val="bottom"/>
          </w:tcPr>
          <w:p w14:paraId="15601C8D" w14:textId="77777777" w:rsidR="005471B1" w:rsidRDefault="005471B1" w:rsidP="00485B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5.636 €</w:t>
            </w:r>
          </w:p>
        </w:tc>
      </w:tr>
    </w:tbl>
    <w:p w14:paraId="4C8E6336" w14:textId="0E23B60D" w:rsidR="00156D22" w:rsidRDefault="00156D22" w:rsidP="005471B1">
      <w:pPr>
        <w:spacing w:line="276" w:lineRule="auto"/>
        <w:ind w:right="-574"/>
        <w:jc w:val="right"/>
        <w:rPr>
          <w:rFonts w:ascii="Open Sans Light" w:hAnsi="Open Sans Light" w:cs="Open Sans Light"/>
          <w:b/>
          <w:iCs/>
          <w:color w:val="303AB2"/>
          <w:szCs w:val="20"/>
          <w:lang w:val="es-ES"/>
        </w:rPr>
      </w:pPr>
    </w:p>
    <w:p w14:paraId="0B0BD177" w14:textId="5F6F734F" w:rsidR="00C76369" w:rsidRDefault="00C76369" w:rsidP="005471B1">
      <w:pPr>
        <w:spacing w:line="276" w:lineRule="auto"/>
        <w:ind w:right="-574"/>
        <w:jc w:val="right"/>
        <w:rPr>
          <w:rFonts w:ascii="Open Sans Light" w:hAnsi="Open Sans Light" w:cs="Open Sans Light"/>
          <w:b/>
          <w:iCs/>
          <w:color w:val="303AB2"/>
          <w:szCs w:val="20"/>
          <w:lang w:val="es-ES"/>
        </w:rPr>
      </w:pPr>
    </w:p>
    <w:p w14:paraId="51A77690" w14:textId="207C5C7D" w:rsidR="00C76369" w:rsidRDefault="00C76369" w:rsidP="005471B1">
      <w:pPr>
        <w:spacing w:line="276" w:lineRule="auto"/>
        <w:ind w:right="-574"/>
        <w:jc w:val="right"/>
        <w:rPr>
          <w:rFonts w:ascii="Open Sans Light" w:hAnsi="Open Sans Light" w:cs="Open Sans Light"/>
          <w:b/>
          <w:iCs/>
          <w:color w:val="303AB2"/>
          <w:szCs w:val="20"/>
          <w:lang w:val="es-ES"/>
        </w:rPr>
      </w:pPr>
    </w:p>
    <w:p w14:paraId="5DF4E9A5" w14:textId="17B44EAA" w:rsidR="00C76369" w:rsidRDefault="00C76369" w:rsidP="005471B1">
      <w:pPr>
        <w:spacing w:line="276" w:lineRule="auto"/>
        <w:ind w:right="-574"/>
        <w:jc w:val="right"/>
        <w:rPr>
          <w:rFonts w:ascii="Open Sans Light" w:hAnsi="Open Sans Light" w:cs="Open Sans Light"/>
          <w:b/>
          <w:iCs/>
          <w:color w:val="303AB2"/>
          <w:szCs w:val="20"/>
          <w:lang w:val="es-ES"/>
        </w:rPr>
      </w:pPr>
    </w:p>
    <w:p w14:paraId="7B3A7C90" w14:textId="0DC991FB" w:rsidR="00C76369" w:rsidRDefault="00C76369" w:rsidP="005471B1">
      <w:pPr>
        <w:spacing w:line="276" w:lineRule="auto"/>
        <w:ind w:right="-574"/>
        <w:jc w:val="right"/>
        <w:rPr>
          <w:rFonts w:ascii="Open Sans Light" w:hAnsi="Open Sans Light" w:cs="Open Sans Light"/>
          <w:b/>
          <w:iCs/>
          <w:color w:val="303AB2"/>
          <w:szCs w:val="20"/>
          <w:lang w:val="es-ES"/>
        </w:rPr>
      </w:pPr>
    </w:p>
    <w:p w14:paraId="08F212CB" w14:textId="49C7A999" w:rsidR="00C76369" w:rsidRDefault="00C76369" w:rsidP="005471B1">
      <w:pPr>
        <w:spacing w:line="276" w:lineRule="auto"/>
        <w:ind w:right="-574"/>
        <w:jc w:val="right"/>
        <w:rPr>
          <w:rFonts w:ascii="Open Sans Light" w:hAnsi="Open Sans Light" w:cs="Open Sans Light"/>
          <w:b/>
          <w:iCs/>
          <w:color w:val="303AB2"/>
          <w:szCs w:val="20"/>
          <w:lang w:val="es-ES"/>
        </w:rPr>
      </w:pPr>
    </w:p>
    <w:p w14:paraId="0BC220BC" w14:textId="316E9115" w:rsidR="00C76369" w:rsidRDefault="00C76369" w:rsidP="005471B1">
      <w:pPr>
        <w:spacing w:line="276" w:lineRule="auto"/>
        <w:ind w:right="-574"/>
        <w:jc w:val="right"/>
        <w:rPr>
          <w:rFonts w:ascii="Open Sans Light" w:hAnsi="Open Sans Light" w:cs="Open Sans Light"/>
          <w:b/>
          <w:iCs/>
          <w:color w:val="303AB2"/>
          <w:szCs w:val="20"/>
          <w:lang w:val="es-ES"/>
        </w:rPr>
      </w:pPr>
    </w:p>
    <w:p w14:paraId="79C0A2B9" w14:textId="6E2F9A13" w:rsidR="00C76369" w:rsidRDefault="00C76369" w:rsidP="005471B1">
      <w:pPr>
        <w:spacing w:line="276" w:lineRule="auto"/>
        <w:ind w:right="-574"/>
        <w:jc w:val="right"/>
        <w:rPr>
          <w:rFonts w:ascii="Open Sans Light" w:hAnsi="Open Sans Light" w:cs="Open Sans Light"/>
          <w:b/>
          <w:iCs/>
          <w:color w:val="303AB2"/>
          <w:szCs w:val="20"/>
          <w:lang w:val="es-ES"/>
        </w:rPr>
      </w:pPr>
    </w:p>
    <w:p w14:paraId="3336C94F" w14:textId="77777777" w:rsidR="00C76369" w:rsidRDefault="00C76369" w:rsidP="005471B1">
      <w:pPr>
        <w:spacing w:line="276" w:lineRule="auto"/>
        <w:ind w:right="-574"/>
        <w:jc w:val="right"/>
        <w:rPr>
          <w:rFonts w:ascii="Open Sans Light" w:hAnsi="Open Sans Light" w:cs="Open Sans Light"/>
          <w:b/>
          <w:iCs/>
          <w:color w:val="303AB2"/>
          <w:szCs w:val="20"/>
          <w:lang w:val="es-ES"/>
        </w:rPr>
      </w:pPr>
    </w:p>
    <w:p w14:paraId="1FA1F4D4" w14:textId="77777777" w:rsidR="00156D22" w:rsidRDefault="00156D22" w:rsidP="005471B1">
      <w:pPr>
        <w:spacing w:line="276" w:lineRule="auto"/>
        <w:ind w:right="-574"/>
        <w:jc w:val="right"/>
        <w:rPr>
          <w:rFonts w:ascii="Open Sans Light" w:hAnsi="Open Sans Light" w:cs="Open Sans Light"/>
          <w:b/>
          <w:iCs/>
          <w:color w:val="303AB2"/>
          <w:szCs w:val="20"/>
          <w:lang w:val="es-ES"/>
        </w:rPr>
      </w:pPr>
    </w:p>
    <w:p w14:paraId="3BD4E888" w14:textId="77777777" w:rsidR="00B41A97" w:rsidRPr="00B41A97" w:rsidRDefault="00B41A97" w:rsidP="00753088">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lastRenderedPageBreak/>
        <w:t xml:space="preserve">Sobre </w:t>
      </w:r>
      <w:r w:rsidR="00152FC9">
        <w:rPr>
          <w:rFonts w:ascii="Open Sans Light" w:hAnsi="Open Sans Light" w:cs="Open Sans Light"/>
          <w:b/>
          <w:iCs/>
          <w:color w:val="303AB2"/>
          <w:szCs w:val="20"/>
          <w:lang w:val="es-ES"/>
        </w:rPr>
        <w:t>F</w:t>
      </w:r>
      <w:r w:rsidRPr="00B41A97">
        <w:rPr>
          <w:rFonts w:ascii="Open Sans Light" w:hAnsi="Open Sans Light" w:cs="Open Sans Light"/>
          <w:b/>
          <w:iCs/>
          <w:color w:val="303AB2"/>
          <w:szCs w:val="20"/>
          <w:lang w:val="es-ES"/>
        </w:rPr>
        <w:t>otocasa</w:t>
      </w:r>
    </w:p>
    <w:p w14:paraId="30B2FC5C" w14:textId="77777777" w:rsidR="005471B1" w:rsidRDefault="005471B1" w:rsidP="005471B1">
      <w:pPr>
        <w:pStyle w:val="NormalWeb"/>
        <w:shd w:val="clear" w:color="auto" w:fill="FFFFFF"/>
        <w:spacing w:line="276" w:lineRule="atLeast"/>
        <w:ind w:right="-716"/>
        <w:jc w:val="both"/>
        <w:rPr>
          <w:color w:val="222222"/>
        </w:rPr>
      </w:pPr>
      <w:r>
        <w:rPr>
          <w:rFonts w:ascii="Open Sans" w:hAnsi="Open Sans" w:cs="Open Sans"/>
          <w:color w:val="000000"/>
          <w:sz w:val="22"/>
          <w:szCs w:val="22"/>
        </w:rPr>
        <w:t>Portal inmobiliario que cuenta con inmuebles de segunda mano, promociones de obra nueva y viviendas de alquiler. Cada mes genera un tráfico de 22 millones de visitas al mes (70% a través de dispositivos móviles) y 650 millones de páginas vistas y cada día la visitan un promedio de 493.000 usuarios únicos.</w:t>
      </w:r>
    </w:p>
    <w:p w14:paraId="5D88237F" w14:textId="77777777" w:rsidR="005471B1" w:rsidRDefault="005471B1" w:rsidP="005471B1">
      <w:pPr>
        <w:pStyle w:val="NormalWeb"/>
        <w:shd w:val="clear" w:color="auto" w:fill="FFFFFF"/>
        <w:spacing w:line="276" w:lineRule="atLeast"/>
        <w:ind w:right="-716"/>
        <w:jc w:val="both"/>
        <w:rPr>
          <w:color w:val="222222"/>
        </w:rPr>
      </w:pPr>
      <w:r>
        <w:rPr>
          <w:rFonts w:ascii="Open Sans" w:hAnsi="Open Sans" w:cs="Open Sans"/>
          <w:color w:val="000000"/>
          <w:sz w:val="22"/>
          <w:szCs w:val="22"/>
        </w:rPr>
        <w:t>Mensualmente elabora el </w:t>
      </w:r>
      <w:hyperlink r:id="rId15" w:tgtFrame="_blank" w:history="1">
        <w:r>
          <w:rPr>
            <w:rStyle w:val="Hipervnculo"/>
            <w:rFonts w:ascii="Open Sans" w:hAnsi="Open Sans" w:cs="Open Sans"/>
            <w:sz w:val="22"/>
            <w:szCs w:val="22"/>
          </w:rPr>
          <w:t>índice inmobiliario Fotocasa</w:t>
        </w:r>
      </w:hyperlink>
      <w:r>
        <w:rPr>
          <w:rFonts w:ascii="Open Sans" w:hAnsi="Open Sans" w:cs="Open Sans"/>
          <w:color w:val="000000"/>
          <w:sz w:val="22"/>
          <w:szCs w:val="22"/>
        </w:rPr>
        <w:t>, un informe de referencia sobre la evolución del precio medio de la vivienda en España, tanto en venta como en alquiler. </w:t>
      </w:r>
    </w:p>
    <w:p w14:paraId="4AC6BA52" w14:textId="77777777" w:rsidR="005471B1" w:rsidRDefault="00764386" w:rsidP="005471B1">
      <w:pPr>
        <w:pStyle w:val="NormalWeb"/>
        <w:shd w:val="clear" w:color="auto" w:fill="FFFFFF"/>
        <w:spacing w:line="276" w:lineRule="atLeast"/>
        <w:ind w:right="-716"/>
        <w:jc w:val="both"/>
        <w:rPr>
          <w:color w:val="222222"/>
        </w:rPr>
      </w:pPr>
      <w:hyperlink r:id="rId16" w:tgtFrame="_blank" w:history="1">
        <w:r w:rsidR="005471B1">
          <w:rPr>
            <w:rStyle w:val="Hipervnculo"/>
            <w:rFonts w:ascii="Open Sans" w:hAnsi="Open Sans" w:cs="Open Sans"/>
            <w:b/>
            <w:bCs/>
            <w:sz w:val="22"/>
            <w:szCs w:val="22"/>
          </w:rPr>
          <w:t>Fotocasa</w:t>
        </w:r>
      </w:hyperlink>
      <w:r w:rsidR="005471B1">
        <w:rPr>
          <w:rFonts w:ascii="Open Sans" w:hAnsi="Open Sans" w:cs="Open Sans"/>
          <w:color w:val="000000"/>
          <w:sz w:val="22"/>
          <w:szCs w:val="22"/>
        </w:rPr>
        <w:t> pertenece a </w:t>
      </w:r>
      <w:proofErr w:type="spellStart"/>
      <w:r w:rsidR="005471B1">
        <w:rPr>
          <w:rStyle w:val="Hipervnculo"/>
          <w:rFonts w:ascii="Open Sans" w:hAnsi="Open Sans" w:cs="Open Sans"/>
          <w:sz w:val="22"/>
          <w:szCs w:val="22"/>
        </w:rPr>
        <w:fldChar w:fldCharType="begin"/>
      </w:r>
      <w:r w:rsidR="005471B1">
        <w:rPr>
          <w:rStyle w:val="Hipervnculo"/>
          <w:rFonts w:ascii="Open Sans" w:hAnsi="Open Sans" w:cs="Open Sans"/>
          <w:sz w:val="22"/>
          <w:szCs w:val="22"/>
        </w:rPr>
        <w:instrText xml:space="preserve"> HYPERLINK "https://www.adevinta.com/" \t "_blank" </w:instrText>
      </w:r>
      <w:r w:rsidR="005471B1">
        <w:rPr>
          <w:rStyle w:val="Hipervnculo"/>
          <w:rFonts w:ascii="Open Sans" w:hAnsi="Open Sans" w:cs="Open Sans"/>
          <w:sz w:val="22"/>
          <w:szCs w:val="22"/>
        </w:rPr>
        <w:fldChar w:fldCharType="separate"/>
      </w:r>
      <w:r w:rsidR="005471B1">
        <w:rPr>
          <w:rStyle w:val="Hipervnculo"/>
          <w:rFonts w:ascii="Open Sans" w:hAnsi="Open Sans" w:cs="Open Sans"/>
          <w:sz w:val="22"/>
          <w:szCs w:val="22"/>
        </w:rPr>
        <w:t>Adevinta</w:t>
      </w:r>
      <w:proofErr w:type="spellEnd"/>
      <w:r w:rsidR="005471B1">
        <w:rPr>
          <w:rStyle w:val="Hipervnculo"/>
          <w:rFonts w:ascii="Open Sans" w:hAnsi="Open Sans" w:cs="Open Sans"/>
          <w:sz w:val="22"/>
          <w:szCs w:val="22"/>
        </w:rPr>
        <w:fldChar w:fldCharType="end"/>
      </w:r>
      <w:r w:rsidR="005471B1">
        <w:rPr>
          <w:rFonts w:ascii="Open Sans" w:hAnsi="Open Sans" w:cs="Open Sans"/>
          <w:color w:val="000000"/>
          <w:sz w:val="22"/>
          <w:szCs w:val="22"/>
        </w:rPr>
        <w:t xml:space="preserve">, una empresa 100% especializada en </w:t>
      </w:r>
      <w:proofErr w:type="spellStart"/>
      <w:r w:rsidR="005471B1">
        <w:rPr>
          <w:rFonts w:ascii="Open Sans" w:hAnsi="Open Sans" w:cs="Open Sans"/>
          <w:color w:val="000000"/>
          <w:sz w:val="22"/>
          <w:szCs w:val="22"/>
        </w:rPr>
        <w:t>marketplaces</w:t>
      </w:r>
      <w:proofErr w:type="spellEnd"/>
      <w:r w:rsidR="005471B1">
        <w:rPr>
          <w:rFonts w:ascii="Open Sans" w:hAnsi="Open Sans" w:cs="Open Sans"/>
          <w:color w:val="000000"/>
          <w:sz w:val="22"/>
          <w:szCs w:val="22"/>
        </w:rPr>
        <w:t xml:space="preserve"> digitales y el único “</w:t>
      </w:r>
      <w:proofErr w:type="spellStart"/>
      <w:r w:rsidR="005471B1">
        <w:rPr>
          <w:rFonts w:ascii="Open Sans" w:hAnsi="Open Sans" w:cs="Open Sans"/>
          <w:color w:val="000000"/>
          <w:sz w:val="22"/>
          <w:szCs w:val="22"/>
        </w:rPr>
        <w:t>pure</w:t>
      </w:r>
      <w:proofErr w:type="spellEnd"/>
      <w:r w:rsidR="005471B1">
        <w:rPr>
          <w:rFonts w:ascii="Open Sans" w:hAnsi="Open Sans" w:cs="Open Sans"/>
          <w:color w:val="000000"/>
          <w:sz w:val="22"/>
          <w:szCs w:val="22"/>
        </w:rPr>
        <w:t xml:space="preserve"> </w:t>
      </w:r>
      <w:proofErr w:type="spellStart"/>
      <w:r w:rsidR="005471B1">
        <w:rPr>
          <w:rFonts w:ascii="Open Sans" w:hAnsi="Open Sans" w:cs="Open Sans"/>
          <w:color w:val="000000"/>
          <w:sz w:val="22"/>
          <w:szCs w:val="22"/>
        </w:rPr>
        <w:t>player</w:t>
      </w:r>
      <w:proofErr w:type="spellEnd"/>
      <w:r w:rsidR="005471B1">
        <w:rPr>
          <w:rFonts w:ascii="Open Sans" w:hAnsi="Open Sans" w:cs="Open Sans"/>
          <w:color w:val="000000"/>
          <w:sz w:val="22"/>
          <w:szCs w:val="22"/>
        </w:rPr>
        <w:t>” del sector a nivel mundial. Con presencia en 16 países de Europa, américa Latina y África del Norte, el conjunto de sus plataformas locales reciben un promedio de 1.500 millones de visitas cada mes. </w:t>
      </w:r>
    </w:p>
    <w:p w14:paraId="44E6A6F1" w14:textId="77777777" w:rsidR="005471B1" w:rsidRDefault="005471B1" w:rsidP="005471B1">
      <w:pPr>
        <w:pStyle w:val="NormalWeb"/>
        <w:shd w:val="clear" w:color="auto" w:fill="FFFFFF"/>
        <w:spacing w:line="276" w:lineRule="atLeast"/>
        <w:ind w:right="-716"/>
        <w:jc w:val="both"/>
        <w:rPr>
          <w:color w:val="222222"/>
        </w:rPr>
      </w:pPr>
      <w:r>
        <w:rPr>
          <w:rFonts w:ascii="Open Sans" w:hAnsi="Open Sans" w:cs="Open Sans"/>
          <w:color w:val="000000"/>
          <w:sz w:val="22"/>
          <w:szCs w:val="22"/>
        </w:rPr>
        <w:t>En España, </w:t>
      </w:r>
      <w:proofErr w:type="spellStart"/>
      <w:r>
        <w:rPr>
          <w:rStyle w:val="m7520542602742854936gmail-msohyperlink"/>
          <w:rFonts w:ascii="Open Sans" w:hAnsi="Open Sans" w:cs="Open Sans"/>
          <w:color w:val="0000FF"/>
          <w:sz w:val="22"/>
          <w:szCs w:val="22"/>
        </w:rPr>
        <w:fldChar w:fldCharType="begin"/>
      </w:r>
      <w:r>
        <w:rPr>
          <w:rStyle w:val="m7520542602742854936gmail-msohyperlink"/>
          <w:rFonts w:ascii="Open Sans" w:hAnsi="Open Sans" w:cs="Open Sans"/>
          <w:color w:val="0000FF"/>
          <w:sz w:val="22"/>
          <w:szCs w:val="22"/>
        </w:rPr>
        <w:instrText xml:space="preserve"> HYPERLINK "https://www.adevinta.com/" \t "_blank" </w:instrText>
      </w:r>
      <w:r>
        <w:rPr>
          <w:rStyle w:val="m7520542602742854936gmail-msohyperlink"/>
          <w:rFonts w:ascii="Open Sans" w:hAnsi="Open Sans" w:cs="Open Sans"/>
          <w:color w:val="0000FF"/>
          <w:sz w:val="22"/>
          <w:szCs w:val="22"/>
        </w:rPr>
        <w:fldChar w:fldCharType="separate"/>
      </w:r>
      <w:r>
        <w:rPr>
          <w:rStyle w:val="Hipervnculo"/>
          <w:rFonts w:ascii="Open Sans" w:hAnsi="Open Sans" w:cs="Open Sans"/>
          <w:sz w:val="22"/>
          <w:szCs w:val="22"/>
        </w:rPr>
        <w:t>Adevinta</w:t>
      </w:r>
      <w:proofErr w:type="spellEnd"/>
      <w:r>
        <w:rPr>
          <w:rStyle w:val="m7520542602742854936gmail-msohyperlink"/>
          <w:rFonts w:ascii="Open Sans" w:hAnsi="Open Sans" w:cs="Open Sans"/>
          <w:color w:val="0000FF"/>
          <w:sz w:val="22"/>
          <w:szCs w:val="22"/>
        </w:rPr>
        <w:fldChar w:fldCharType="end"/>
      </w:r>
      <w:r>
        <w:rPr>
          <w:rFonts w:ascii="Open Sans" w:hAnsi="Open Sans" w:cs="Open Sans"/>
          <w:color w:val="000000"/>
          <w:sz w:val="22"/>
          <w:szCs w:val="22"/>
        </w:rPr>
        <w:t xml:space="preserve">, antes Schibsted </w:t>
      </w:r>
      <w:proofErr w:type="spellStart"/>
      <w:r>
        <w:rPr>
          <w:rFonts w:ascii="Open Sans" w:hAnsi="Open Sans" w:cs="Open Sans"/>
          <w:color w:val="000000"/>
          <w:sz w:val="22"/>
          <w:szCs w:val="22"/>
        </w:rPr>
        <w:t>Spain</w:t>
      </w:r>
      <w:proofErr w:type="spellEnd"/>
      <w:r>
        <w:rPr>
          <w:rFonts w:ascii="Open Sans" w:hAnsi="Open Sans" w:cs="Open Sans"/>
          <w:color w:val="000000"/>
          <w:sz w:val="22"/>
          <w:szCs w:val="22"/>
        </w:rPr>
        <w:t xml:space="preserve">, es una de las principales empresas del sector tecnológico del país y un referente de transformación digital. En sus 40 años de trayectoria en el mercado español de clasificados, los negocios de </w:t>
      </w:r>
      <w:proofErr w:type="spellStart"/>
      <w:r>
        <w:rPr>
          <w:rFonts w:ascii="Open Sans" w:hAnsi="Open Sans" w:cs="Open Sans"/>
          <w:color w:val="000000"/>
          <w:sz w:val="22"/>
          <w:szCs w:val="22"/>
        </w:rPr>
        <w:t>Adevinta</w:t>
      </w:r>
      <w:proofErr w:type="spellEnd"/>
      <w:r>
        <w:rPr>
          <w:rFonts w:ascii="Open Sans" w:hAnsi="Open Sans" w:cs="Open Sans"/>
          <w:color w:val="000000"/>
          <w:sz w:val="22"/>
          <w:szCs w:val="22"/>
        </w:rPr>
        <w:t xml:space="preserve"> han evolucionado del papel al online hasta convertirse en el referente de Internet en sectores relevantes como inmobiliaria (</w:t>
      </w:r>
      <w:hyperlink r:id="rId17" w:tgtFrame="_blank" w:history="1">
        <w:r>
          <w:rPr>
            <w:rStyle w:val="Hipervnculo"/>
            <w:rFonts w:ascii="Open Sans" w:hAnsi="Open Sans" w:cs="Open Sans"/>
            <w:sz w:val="22"/>
            <w:szCs w:val="22"/>
          </w:rPr>
          <w:t>Fotocasa</w:t>
        </w:r>
      </w:hyperlink>
      <w:r>
        <w:rPr>
          <w:rFonts w:ascii="Open Sans" w:hAnsi="Open Sans" w:cs="Open Sans"/>
          <w:color w:val="000000"/>
          <w:sz w:val="22"/>
          <w:szCs w:val="22"/>
        </w:rPr>
        <w:t> y </w:t>
      </w:r>
      <w:proofErr w:type="spellStart"/>
      <w:r>
        <w:rPr>
          <w:rStyle w:val="m7520542602742854936gmail-msohyperlink"/>
          <w:rFonts w:ascii="Open Sans" w:hAnsi="Open Sans" w:cs="Open Sans"/>
          <w:color w:val="0000FF"/>
          <w:sz w:val="22"/>
          <w:szCs w:val="22"/>
        </w:rPr>
        <w:fldChar w:fldCharType="begin"/>
      </w:r>
      <w:r>
        <w:rPr>
          <w:rStyle w:val="m7520542602742854936gmail-msohyperlink"/>
          <w:rFonts w:ascii="Open Sans" w:hAnsi="Open Sans" w:cs="Open Sans"/>
          <w:color w:val="0000FF"/>
          <w:sz w:val="22"/>
          <w:szCs w:val="22"/>
        </w:rPr>
        <w:instrText xml:space="preserve"> HYPERLINK "https://www.habitaclia.com/" \t "_blank" </w:instrText>
      </w:r>
      <w:r>
        <w:rPr>
          <w:rStyle w:val="m7520542602742854936gmail-msohyperlink"/>
          <w:rFonts w:ascii="Open Sans" w:hAnsi="Open Sans" w:cs="Open Sans"/>
          <w:color w:val="0000FF"/>
          <w:sz w:val="22"/>
          <w:szCs w:val="22"/>
        </w:rPr>
        <w:fldChar w:fldCharType="separate"/>
      </w:r>
      <w:r>
        <w:rPr>
          <w:rStyle w:val="Hipervnculo"/>
          <w:rFonts w:ascii="Open Sans" w:hAnsi="Open Sans" w:cs="Open Sans"/>
          <w:sz w:val="22"/>
          <w:szCs w:val="22"/>
        </w:rPr>
        <w:t>habitaclia</w:t>
      </w:r>
      <w:proofErr w:type="spellEnd"/>
      <w:r>
        <w:rPr>
          <w:rStyle w:val="m7520542602742854936gmail-msohyperlink"/>
          <w:rFonts w:ascii="Open Sans" w:hAnsi="Open Sans" w:cs="Open Sans"/>
          <w:color w:val="0000FF"/>
          <w:sz w:val="22"/>
          <w:szCs w:val="22"/>
        </w:rPr>
        <w:fldChar w:fldCharType="end"/>
      </w:r>
      <w:r>
        <w:rPr>
          <w:rFonts w:ascii="Open Sans" w:hAnsi="Open Sans" w:cs="Open Sans"/>
          <w:color w:val="000000"/>
          <w:sz w:val="22"/>
          <w:szCs w:val="22"/>
        </w:rPr>
        <w:t>), empleo (</w:t>
      </w:r>
      <w:hyperlink r:id="rId18" w:tgtFrame="_blank" w:history="1">
        <w:r>
          <w:rPr>
            <w:rStyle w:val="Hipervnculo"/>
            <w:rFonts w:ascii="Open Sans" w:hAnsi="Open Sans" w:cs="Open Sans"/>
            <w:sz w:val="22"/>
            <w:szCs w:val="22"/>
          </w:rPr>
          <w:t>Infojobs.net</w:t>
        </w:r>
      </w:hyperlink>
      <w:r>
        <w:rPr>
          <w:rFonts w:ascii="Open Sans" w:hAnsi="Open Sans" w:cs="Open Sans"/>
          <w:color w:val="000000"/>
          <w:sz w:val="22"/>
          <w:szCs w:val="22"/>
        </w:rPr>
        <w:t>), motor (</w:t>
      </w:r>
      <w:hyperlink r:id="rId19" w:tgtFrame="_blank" w:history="1">
        <w:r>
          <w:rPr>
            <w:rStyle w:val="Hipervnculo"/>
            <w:rFonts w:ascii="Open Sans" w:hAnsi="Open Sans" w:cs="Open Sans"/>
            <w:sz w:val="22"/>
            <w:szCs w:val="22"/>
          </w:rPr>
          <w:t>coches.net</w:t>
        </w:r>
      </w:hyperlink>
      <w:r>
        <w:rPr>
          <w:rFonts w:ascii="Open Sans" w:hAnsi="Open Sans" w:cs="Open Sans"/>
          <w:color w:val="000000"/>
          <w:sz w:val="22"/>
          <w:szCs w:val="22"/>
        </w:rPr>
        <w:t> y</w:t>
      </w:r>
      <w:hyperlink r:id="rId20" w:tgtFrame="_blank" w:history="1">
        <w:r>
          <w:rPr>
            <w:rStyle w:val="Hipervnculo"/>
            <w:rFonts w:ascii="Open Sans" w:hAnsi="Open Sans" w:cs="Open Sans"/>
            <w:sz w:val="22"/>
            <w:szCs w:val="22"/>
          </w:rPr>
          <w:t>motos.ne</w:t>
        </w:r>
      </w:hyperlink>
      <w:r>
        <w:rPr>
          <w:rFonts w:ascii="Open Sans" w:hAnsi="Open Sans" w:cs="Open Sans"/>
          <w:color w:val="000000"/>
          <w:sz w:val="22"/>
          <w:szCs w:val="22"/>
        </w:rPr>
        <w:t>t) y segunda mano (</w:t>
      </w:r>
      <w:proofErr w:type="spellStart"/>
      <w:r>
        <w:rPr>
          <w:rStyle w:val="m7520542602742854936gmail-msohyperlink"/>
          <w:rFonts w:ascii="Open Sans" w:hAnsi="Open Sans" w:cs="Open Sans"/>
          <w:color w:val="0000FF"/>
          <w:sz w:val="22"/>
          <w:szCs w:val="22"/>
        </w:rPr>
        <w:fldChar w:fldCharType="begin"/>
      </w:r>
      <w:r>
        <w:rPr>
          <w:rStyle w:val="m7520542602742854936gmail-msohyperlink"/>
          <w:rFonts w:ascii="Open Sans" w:hAnsi="Open Sans" w:cs="Open Sans"/>
          <w:color w:val="0000FF"/>
          <w:sz w:val="22"/>
          <w:szCs w:val="22"/>
        </w:rPr>
        <w:instrText xml:space="preserve"> HYPERLINK "https://www.milanuncios.es/" \t "_blank" </w:instrText>
      </w:r>
      <w:r>
        <w:rPr>
          <w:rStyle w:val="m7520542602742854936gmail-msohyperlink"/>
          <w:rFonts w:ascii="Open Sans" w:hAnsi="Open Sans" w:cs="Open Sans"/>
          <w:color w:val="0000FF"/>
          <w:sz w:val="22"/>
          <w:szCs w:val="22"/>
        </w:rPr>
        <w:fldChar w:fldCharType="separate"/>
      </w:r>
      <w:r>
        <w:rPr>
          <w:rStyle w:val="Hipervnculo"/>
          <w:rFonts w:ascii="Open Sans" w:hAnsi="Open Sans" w:cs="Open Sans"/>
          <w:sz w:val="22"/>
          <w:szCs w:val="22"/>
        </w:rPr>
        <w:t>Milanuncios</w:t>
      </w:r>
      <w:proofErr w:type="spellEnd"/>
      <w:r>
        <w:rPr>
          <w:rStyle w:val="m7520542602742854936gmail-msohyperlink"/>
          <w:rFonts w:ascii="Open Sans" w:hAnsi="Open Sans" w:cs="Open Sans"/>
          <w:color w:val="0000FF"/>
          <w:sz w:val="22"/>
          <w:szCs w:val="22"/>
        </w:rPr>
        <w:fldChar w:fldCharType="end"/>
      </w:r>
      <w:r>
        <w:rPr>
          <w:rFonts w:ascii="Open Sans" w:hAnsi="Open Sans" w:cs="Open Sans"/>
          <w:color w:val="000000"/>
          <w:sz w:val="22"/>
          <w:szCs w:val="22"/>
        </w:rPr>
        <w:t> y </w:t>
      </w:r>
      <w:proofErr w:type="spellStart"/>
      <w:r>
        <w:rPr>
          <w:rStyle w:val="m7520542602742854936gmail-msohyperlink"/>
          <w:rFonts w:ascii="Open Sans" w:hAnsi="Open Sans" w:cs="Open Sans"/>
          <w:color w:val="0000FF"/>
          <w:sz w:val="22"/>
          <w:szCs w:val="22"/>
        </w:rPr>
        <w:fldChar w:fldCharType="begin"/>
      </w:r>
      <w:r>
        <w:rPr>
          <w:rStyle w:val="m7520542602742854936gmail-msohyperlink"/>
          <w:rFonts w:ascii="Open Sans" w:hAnsi="Open Sans" w:cs="Open Sans"/>
          <w:color w:val="0000FF"/>
          <w:sz w:val="22"/>
          <w:szCs w:val="22"/>
        </w:rPr>
        <w:instrText xml:space="preserve"> HYPERLINK "https://www.vibbo.com/" \t "_blank" </w:instrText>
      </w:r>
      <w:r>
        <w:rPr>
          <w:rStyle w:val="m7520542602742854936gmail-msohyperlink"/>
          <w:rFonts w:ascii="Open Sans" w:hAnsi="Open Sans" w:cs="Open Sans"/>
          <w:color w:val="0000FF"/>
          <w:sz w:val="22"/>
          <w:szCs w:val="22"/>
        </w:rPr>
        <w:fldChar w:fldCharType="separate"/>
      </w:r>
      <w:r>
        <w:rPr>
          <w:rStyle w:val="Hipervnculo"/>
          <w:rFonts w:ascii="Open Sans" w:hAnsi="Open Sans" w:cs="Open Sans"/>
          <w:sz w:val="22"/>
          <w:szCs w:val="22"/>
        </w:rPr>
        <w:t>vibbo</w:t>
      </w:r>
      <w:proofErr w:type="spellEnd"/>
      <w:r>
        <w:rPr>
          <w:rStyle w:val="m7520542602742854936gmail-msohyperlink"/>
          <w:rFonts w:ascii="Open Sans" w:hAnsi="Open Sans" w:cs="Open Sans"/>
          <w:color w:val="0000FF"/>
          <w:sz w:val="22"/>
          <w:szCs w:val="22"/>
        </w:rPr>
        <w:fldChar w:fldCharType="end"/>
      </w:r>
      <w:r>
        <w:rPr>
          <w:rFonts w:ascii="Open Sans" w:hAnsi="Open Sans" w:cs="Open Sans"/>
          <w:color w:val="000000"/>
          <w:sz w:val="22"/>
          <w:szCs w:val="22"/>
        </w:rPr>
        <w:t xml:space="preserve">). Sus más de 18 millones de usuarios al mes sitúan </w:t>
      </w:r>
      <w:proofErr w:type="spellStart"/>
      <w:r>
        <w:rPr>
          <w:rFonts w:ascii="Open Sans" w:hAnsi="Open Sans" w:cs="Open Sans"/>
          <w:color w:val="000000"/>
          <w:sz w:val="22"/>
          <w:szCs w:val="22"/>
        </w:rPr>
        <w:t>Adevinta</w:t>
      </w:r>
      <w:proofErr w:type="spellEnd"/>
      <w:r>
        <w:rPr>
          <w:rFonts w:ascii="Open Sans" w:hAnsi="Open Sans" w:cs="Open Sans"/>
          <w:color w:val="000000"/>
          <w:sz w:val="22"/>
          <w:szCs w:val="22"/>
        </w:rPr>
        <w:t xml:space="preserve"> entre las diez compañías con mayor audiencia de Internet en España (y la mayor empresa digital española). </w:t>
      </w:r>
      <w:proofErr w:type="spellStart"/>
      <w:r>
        <w:rPr>
          <w:rFonts w:ascii="Open Sans" w:hAnsi="Open Sans" w:cs="Open Sans"/>
          <w:color w:val="000000"/>
          <w:sz w:val="22"/>
          <w:szCs w:val="22"/>
        </w:rPr>
        <w:t>Adevinta</w:t>
      </w:r>
      <w:proofErr w:type="spellEnd"/>
      <w:r>
        <w:rPr>
          <w:rFonts w:ascii="Open Sans" w:hAnsi="Open Sans" w:cs="Open Sans"/>
          <w:color w:val="000000"/>
          <w:sz w:val="22"/>
          <w:szCs w:val="22"/>
        </w:rPr>
        <w:t xml:space="preserve"> cuenta en la actualidad con una plantilla de más de 1.000 empleados en España. </w:t>
      </w:r>
    </w:p>
    <w:p w14:paraId="5501D9E1" w14:textId="77777777" w:rsidR="00D31A57" w:rsidRDefault="00D31A57"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1"/>
          <w:szCs w:val="21"/>
        </w:rPr>
      </w:pPr>
    </w:p>
    <w:p w14:paraId="431071F7" w14:textId="77777777" w:rsidR="00AD2B56" w:rsidRPr="00B41A97" w:rsidRDefault="00AD2B56"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1"/>
          <w:szCs w:val="21"/>
        </w:rPr>
      </w:pPr>
    </w:p>
    <w:p w14:paraId="68F0F9C7" w14:textId="77777777" w:rsidR="00B41A97" w:rsidRPr="00B41A97" w:rsidRDefault="00B41A97" w:rsidP="00753088">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t>D</w:t>
      </w:r>
      <w:r>
        <w:rPr>
          <w:rFonts w:ascii="Open Sans Light" w:hAnsi="Open Sans Light" w:cs="Open Sans Light"/>
          <w:b/>
          <w:iCs/>
          <w:color w:val="303AB2"/>
          <w:szCs w:val="20"/>
          <w:lang w:val="es-ES"/>
        </w:rPr>
        <w:t>epartamento de Comunicación de F</w:t>
      </w:r>
      <w:r w:rsidRPr="00B41A97">
        <w:rPr>
          <w:rFonts w:ascii="Open Sans Light" w:hAnsi="Open Sans Light" w:cs="Open Sans Light"/>
          <w:b/>
          <w:iCs/>
          <w:color w:val="303AB2"/>
          <w:szCs w:val="20"/>
          <w:lang w:val="es-ES"/>
        </w:rPr>
        <w:t>otocasa</w:t>
      </w:r>
    </w:p>
    <w:p w14:paraId="7FAB3A74" w14:textId="77777777" w:rsidR="00B41A97" w:rsidRPr="00B41A97" w:rsidRDefault="00B41A97" w:rsidP="00753088">
      <w:pPr>
        <w:pStyle w:val="NormalWeb"/>
        <w:shd w:val="clear" w:color="auto" w:fill="FFFFFF"/>
        <w:spacing w:before="0" w:beforeAutospacing="0" w:after="0" w:afterAutospacing="0" w:line="276" w:lineRule="auto"/>
        <w:ind w:right="-574"/>
        <w:jc w:val="right"/>
        <w:rPr>
          <w:rFonts w:ascii="Open Sans" w:hAnsi="Open Sans" w:cs="Open Sans"/>
          <w:b/>
          <w:bCs/>
          <w:color w:val="000000"/>
          <w:sz w:val="21"/>
          <w:szCs w:val="21"/>
        </w:rPr>
      </w:pPr>
      <w:r w:rsidRPr="00B41A97">
        <w:rPr>
          <w:rFonts w:ascii="Open Sans" w:hAnsi="Open Sans" w:cs="Open Sans"/>
          <w:b/>
          <w:bCs/>
          <w:color w:val="000000"/>
          <w:sz w:val="21"/>
          <w:szCs w:val="21"/>
        </w:rPr>
        <w:t>Anaïs López</w:t>
      </w:r>
    </w:p>
    <w:p w14:paraId="66EE7B4F" w14:textId="77777777" w:rsidR="00B41A97" w:rsidRPr="00B41A97" w:rsidRDefault="00B41A97"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B41A97">
        <w:rPr>
          <w:rFonts w:ascii="Open Sans" w:hAnsi="Open Sans" w:cs="Open Sans"/>
          <w:color w:val="000000"/>
          <w:sz w:val="21"/>
          <w:szCs w:val="21"/>
        </w:rPr>
        <w:t>Tlf.: 93 576 56 79</w:t>
      </w:r>
    </w:p>
    <w:p w14:paraId="65FD799C" w14:textId="77777777" w:rsidR="00B41A97" w:rsidRPr="00B41A97" w:rsidRDefault="00B41A97"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B41A97">
        <w:rPr>
          <w:rFonts w:ascii="Open Sans" w:hAnsi="Open Sans" w:cs="Open Sans"/>
          <w:color w:val="000000"/>
          <w:sz w:val="21"/>
          <w:szCs w:val="21"/>
        </w:rPr>
        <w:t>Móvil: 620 66 29 26</w:t>
      </w:r>
    </w:p>
    <w:p w14:paraId="482F55CD" w14:textId="77777777" w:rsidR="00B41A97" w:rsidRPr="00B41A97" w:rsidRDefault="00764386"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21" w:history="1">
        <w:r w:rsidR="00B41A97" w:rsidRPr="00B41A97">
          <w:rPr>
            <w:rStyle w:val="Hipervnculo"/>
            <w:rFonts w:ascii="Open Sans" w:hAnsi="Open Sans" w:cs="Open Sans"/>
            <w:sz w:val="21"/>
            <w:szCs w:val="21"/>
          </w:rPr>
          <w:t>comunicacion@fotocasa.es</w:t>
        </w:r>
      </w:hyperlink>
    </w:p>
    <w:p w14:paraId="5AFB642D" w14:textId="77777777" w:rsidR="00B41A97" w:rsidRPr="00B41A97" w:rsidRDefault="00764386"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22" w:history="1">
        <w:r w:rsidR="00B41A97" w:rsidRPr="00B41A97">
          <w:rPr>
            <w:rStyle w:val="Hipervnculo"/>
            <w:rFonts w:ascii="Open Sans" w:hAnsi="Open Sans" w:cs="Open Sans"/>
            <w:sz w:val="21"/>
            <w:szCs w:val="21"/>
          </w:rPr>
          <w:t>http://prensa.fotocasa.es</w:t>
        </w:r>
      </w:hyperlink>
    </w:p>
    <w:p w14:paraId="793EEFDB" w14:textId="77777777" w:rsidR="00B41A97" w:rsidRPr="00010ECE" w:rsidRDefault="00B41A97"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proofErr w:type="spellStart"/>
      <w:r w:rsidRPr="00B41A97">
        <w:rPr>
          <w:rFonts w:ascii="Open Sans" w:hAnsi="Open Sans" w:cs="Open Sans"/>
          <w:color w:val="000000"/>
          <w:sz w:val="21"/>
          <w:szCs w:val="21"/>
        </w:rPr>
        <w:t>twitter</w:t>
      </w:r>
      <w:proofErr w:type="spellEnd"/>
      <w:r w:rsidRPr="00B41A97">
        <w:rPr>
          <w:rFonts w:ascii="Open Sans" w:hAnsi="Open Sans" w:cs="Open Sans"/>
          <w:color w:val="000000"/>
          <w:sz w:val="21"/>
          <w:szCs w:val="21"/>
        </w:rPr>
        <w:t>: @</w:t>
      </w:r>
      <w:proofErr w:type="spellStart"/>
      <w:r w:rsidRPr="00B41A97">
        <w:rPr>
          <w:rFonts w:ascii="Open Sans" w:hAnsi="Open Sans" w:cs="Open Sans"/>
          <w:color w:val="000000"/>
          <w:sz w:val="21"/>
          <w:szCs w:val="21"/>
        </w:rPr>
        <w:t>fotocasa</w:t>
      </w:r>
      <w:proofErr w:type="spellEnd"/>
    </w:p>
    <w:sectPr w:rsidR="00B41A97" w:rsidRPr="00010ECE" w:rsidSect="007A55E0">
      <w:footerReference w:type="default" r:id="rId23"/>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E2603" w14:textId="77777777" w:rsidR="0093735E" w:rsidRDefault="0093735E" w:rsidP="00DD4CA4">
      <w:r>
        <w:separator/>
      </w:r>
    </w:p>
  </w:endnote>
  <w:endnote w:type="continuationSeparator" w:id="0">
    <w:p w14:paraId="6E123C07" w14:textId="77777777" w:rsidR="0093735E" w:rsidRDefault="0093735E" w:rsidP="00DD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National">
    <w:altName w:val="Corbel"/>
    <w:panose1 w:val="00000000000000000000"/>
    <w:charset w:val="4D"/>
    <w:family w:val="auto"/>
    <w:notTrueType/>
    <w:pitch w:val="variable"/>
    <w:sig w:usb0="00000001" w:usb1="5000207B" w:usb2="00000010" w:usb3="00000000" w:csb0="0000009B" w:csb1="00000000"/>
  </w:font>
  <w:font w:name="Open Sans">
    <w:altName w:val="Segoe UI"/>
    <w:charset w:val="00"/>
    <w:family w:val="swiss"/>
    <w:pitch w:val="variable"/>
    <w:sig w:usb0="E00002EF" w:usb1="4000205B" w:usb2="00000028" w:usb3="00000000" w:csb0="0000019F" w:csb1="00000000"/>
  </w:font>
  <w:font w:name="Open Sans Light">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AAAF7" w14:textId="77777777" w:rsidR="00DD4CA4" w:rsidRDefault="00DD4CA4">
    <w:pPr>
      <w:pStyle w:val="Piedepgina"/>
    </w:pPr>
    <w:r>
      <w:rPr>
        <w:rFonts w:ascii="Open Sans" w:hAnsi="Open Sans" w:cs="Open Sans"/>
        <w:noProof/>
        <w:color w:val="000000"/>
        <w:sz w:val="21"/>
        <w:szCs w:val="21"/>
        <w:lang w:val="es-ES" w:eastAsia="es-ES" w:bidi="ks-Deva"/>
      </w:rPr>
      <w:drawing>
        <wp:anchor distT="0" distB="0" distL="114300" distR="114300" simplePos="0" relativeHeight="251659264" behindDoc="1" locked="0" layoutInCell="1" allowOverlap="1" wp14:anchorId="14DC28BB" wp14:editId="5D1359FC">
          <wp:simplePos x="0" y="0"/>
          <wp:positionH relativeFrom="column">
            <wp:posOffset>-1068070</wp:posOffset>
          </wp:positionH>
          <wp:positionV relativeFrom="paragraph">
            <wp:posOffset>174608</wp:posOffset>
          </wp:positionV>
          <wp:extent cx="7670550" cy="451315"/>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4BCAE" w14:textId="77777777" w:rsidR="0093735E" w:rsidRDefault="0093735E" w:rsidP="00DD4CA4">
      <w:r>
        <w:separator/>
      </w:r>
    </w:p>
  </w:footnote>
  <w:footnote w:type="continuationSeparator" w:id="0">
    <w:p w14:paraId="625CB355" w14:textId="77777777" w:rsidR="0093735E" w:rsidRDefault="0093735E" w:rsidP="00DD4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75DEB"/>
    <w:multiLevelType w:val="hybridMultilevel"/>
    <w:tmpl w:val="87BCA9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4857E20"/>
    <w:multiLevelType w:val="hybridMultilevel"/>
    <w:tmpl w:val="C30C5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D6F5BC2"/>
    <w:multiLevelType w:val="multilevel"/>
    <w:tmpl w:val="E13A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B22EA9"/>
    <w:multiLevelType w:val="hybridMultilevel"/>
    <w:tmpl w:val="A7CA6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2F24275"/>
    <w:multiLevelType w:val="hybridMultilevel"/>
    <w:tmpl w:val="8CE6C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FB61786"/>
    <w:multiLevelType w:val="multilevel"/>
    <w:tmpl w:val="3C42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7C4E6B"/>
    <w:multiLevelType w:val="hybridMultilevel"/>
    <w:tmpl w:val="47F60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CA7"/>
    <w:rsid w:val="00010ECE"/>
    <w:rsid w:val="00074288"/>
    <w:rsid w:val="000C5473"/>
    <w:rsid w:val="000F6560"/>
    <w:rsid w:val="001150E7"/>
    <w:rsid w:val="00126BA2"/>
    <w:rsid w:val="00152FC9"/>
    <w:rsid w:val="00156D22"/>
    <w:rsid w:val="001E61FA"/>
    <w:rsid w:val="00247090"/>
    <w:rsid w:val="002A35C0"/>
    <w:rsid w:val="002D7A32"/>
    <w:rsid w:val="00314636"/>
    <w:rsid w:val="00321159"/>
    <w:rsid w:val="003400FE"/>
    <w:rsid w:val="00350011"/>
    <w:rsid w:val="0036438E"/>
    <w:rsid w:val="00381AD0"/>
    <w:rsid w:val="003F53A9"/>
    <w:rsid w:val="00416100"/>
    <w:rsid w:val="0042739B"/>
    <w:rsid w:val="004577E7"/>
    <w:rsid w:val="004733B0"/>
    <w:rsid w:val="004A5318"/>
    <w:rsid w:val="004B0DEC"/>
    <w:rsid w:val="004C1ED5"/>
    <w:rsid w:val="004D5B16"/>
    <w:rsid w:val="004F52D0"/>
    <w:rsid w:val="005029E9"/>
    <w:rsid w:val="00503F5B"/>
    <w:rsid w:val="00512A16"/>
    <w:rsid w:val="005471B1"/>
    <w:rsid w:val="00555725"/>
    <w:rsid w:val="00556DD9"/>
    <w:rsid w:val="00557588"/>
    <w:rsid w:val="005941E5"/>
    <w:rsid w:val="00596B6E"/>
    <w:rsid w:val="005A4CB5"/>
    <w:rsid w:val="00661226"/>
    <w:rsid w:val="006638C7"/>
    <w:rsid w:val="0068693D"/>
    <w:rsid w:val="006B054C"/>
    <w:rsid w:val="006B1658"/>
    <w:rsid w:val="006E6E44"/>
    <w:rsid w:val="007027AA"/>
    <w:rsid w:val="00727554"/>
    <w:rsid w:val="00753088"/>
    <w:rsid w:val="00757DAE"/>
    <w:rsid w:val="00763677"/>
    <w:rsid w:val="00764386"/>
    <w:rsid w:val="007646AE"/>
    <w:rsid w:val="0077674C"/>
    <w:rsid w:val="007836C2"/>
    <w:rsid w:val="00787B82"/>
    <w:rsid w:val="00793775"/>
    <w:rsid w:val="007A55E0"/>
    <w:rsid w:val="007D43C2"/>
    <w:rsid w:val="007D52E9"/>
    <w:rsid w:val="007E18DE"/>
    <w:rsid w:val="007E7C38"/>
    <w:rsid w:val="008062B1"/>
    <w:rsid w:val="00831318"/>
    <w:rsid w:val="008373B8"/>
    <w:rsid w:val="00861710"/>
    <w:rsid w:val="008A3781"/>
    <w:rsid w:val="008E3EB4"/>
    <w:rsid w:val="008E4D21"/>
    <w:rsid w:val="00902E8A"/>
    <w:rsid w:val="00914F28"/>
    <w:rsid w:val="0093735E"/>
    <w:rsid w:val="009B6AE8"/>
    <w:rsid w:val="009D0F6B"/>
    <w:rsid w:val="009D775E"/>
    <w:rsid w:val="00A70E42"/>
    <w:rsid w:val="00A84CA7"/>
    <w:rsid w:val="00AD0C78"/>
    <w:rsid w:val="00AD2B56"/>
    <w:rsid w:val="00AD62DD"/>
    <w:rsid w:val="00AF4D43"/>
    <w:rsid w:val="00B10769"/>
    <w:rsid w:val="00B41A97"/>
    <w:rsid w:val="00B70D0B"/>
    <w:rsid w:val="00B745C5"/>
    <w:rsid w:val="00B8169B"/>
    <w:rsid w:val="00B91AB4"/>
    <w:rsid w:val="00BC1D19"/>
    <w:rsid w:val="00BC419A"/>
    <w:rsid w:val="00BD038C"/>
    <w:rsid w:val="00C00483"/>
    <w:rsid w:val="00C06F44"/>
    <w:rsid w:val="00C30C36"/>
    <w:rsid w:val="00C31F55"/>
    <w:rsid w:val="00C3513E"/>
    <w:rsid w:val="00C456C3"/>
    <w:rsid w:val="00C76369"/>
    <w:rsid w:val="00C86CB3"/>
    <w:rsid w:val="00CC1ADE"/>
    <w:rsid w:val="00D31A57"/>
    <w:rsid w:val="00D3495E"/>
    <w:rsid w:val="00D42F96"/>
    <w:rsid w:val="00D54067"/>
    <w:rsid w:val="00D616F7"/>
    <w:rsid w:val="00D660C5"/>
    <w:rsid w:val="00D72557"/>
    <w:rsid w:val="00D91C64"/>
    <w:rsid w:val="00D93D3C"/>
    <w:rsid w:val="00DA4CE3"/>
    <w:rsid w:val="00DA7394"/>
    <w:rsid w:val="00DA78C7"/>
    <w:rsid w:val="00DC7AC3"/>
    <w:rsid w:val="00DD4CA4"/>
    <w:rsid w:val="00DE4584"/>
    <w:rsid w:val="00DF50AC"/>
    <w:rsid w:val="00E05B4E"/>
    <w:rsid w:val="00E903FB"/>
    <w:rsid w:val="00EA7EB0"/>
    <w:rsid w:val="00ED6CFA"/>
    <w:rsid w:val="00EE7458"/>
    <w:rsid w:val="00EF0D7D"/>
    <w:rsid w:val="00F114F6"/>
    <w:rsid w:val="00F1765A"/>
    <w:rsid w:val="00F847AB"/>
    <w:rsid w:val="00F96E80"/>
    <w:rsid w:val="00FF4323"/>
    <w:rsid w:val="00FF53CF"/>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5CC1974"/>
  <w15:chartTrackingRefBased/>
  <w15:docId w15:val="{FE41108D-F696-D542-AA89-0372603A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laconcuadrcula5oscura-nfasis1">
    <w:name w:val="Grid Table 5 Dark Accent 1"/>
    <w:basedOn w:val="Tablanormal"/>
    <w:uiPriority w:val="50"/>
    <w:rsid w:val="00FF53C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m7520542602742854936gmail-msohyperlink">
    <w:name w:val="m_7520542602742854936gmail-msohyperlink"/>
    <w:basedOn w:val="Fuentedeprrafopredeter"/>
    <w:rsid w:val="00547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1767457220">
      <w:bodyDiv w:val="1"/>
      <w:marLeft w:val="0"/>
      <w:marRight w:val="0"/>
      <w:marTop w:val="0"/>
      <w:marBottom w:val="0"/>
      <w:divBdr>
        <w:top w:val="none" w:sz="0" w:space="0" w:color="auto"/>
        <w:left w:val="none" w:sz="0" w:space="0" w:color="auto"/>
        <w:bottom w:val="none" w:sz="0" w:space="0" w:color="auto"/>
        <w:right w:val="none" w:sz="0" w:space="0" w:color="auto"/>
      </w:divBdr>
    </w:div>
    <w:div w:id="1903757828">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otocasa.es" TargetMode="External"/><Relationship Id="rId18" Type="http://schemas.openxmlformats.org/officeDocument/2006/relationships/hyperlink" Target="https://www.infojobs.net/" TargetMode="External"/><Relationship Id="rId3" Type="http://schemas.openxmlformats.org/officeDocument/2006/relationships/styles" Target="styles.xml"/><Relationship Id="rId21" Type="http://schemas.openxmlformats.org/officeDocument/2006/relationships/hyperlink" Target="comunicacion@fotocasa.es" TargetMode="External"/><Relationship Id="rId7" Type="http://schemas.openxmlformats.org/officeDocument/2006/relationships/endnotes" Target="endnotes.xml"/><Relationship Id="rId12" Type="http://schemas.openxmlformats.org/officeDocument/2006/relationships/hyperlink" Target="https://www.fotocasa.es" TargetMode="External"/><Relationship Id="rId17" Type="http://schemas.openxmlformats.org/officeDocument/2006/relationships/hyperlink" Target="http://www.fotocasa.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otocasa.es/" TargetMode="External"/><Relationship Id="rId20" Type="http://schemas.openxmlformats.org/officeDocument/2006/relationships/hyperlink" Target="https://motos.coche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otocasa.es/indice/" TargetMode="External"/><Relationship Id="rId23" Type="http://schemas.openxmlformats.org/officeDocument/2006/relationships/footer" Target="footer1.xml"/><Relationship Id="rId10" Type="http://schemas.openxmlformats.org/officeDocument/2006/relationships/hyperlink" Target="https://www.fotocasa.es/indice/" TargetMode="External"/><Relationship Id="rId19" Type="http://schemas.openxmlformats.org/officeDocument/2006/relationships/hyperlink" Target="https://www.coches.net/" TargetMode="External"/><Relationship Id="rId4" Type="http://schemas.openxmlformats.org/officeDocument/2006/relationships/settings" Target="settings.xml"/><Relationship Id="rId9" Type="http://schemas.openxmlformats.org/officeDocument/2006/relationships/hyperlink" Target="https://www.fotocasa.es" TargetMode="External"/><Relationship Id="rId14" Type="http://schemas.openxmlformats.org/officeDocument/2006/relationships/hyperlink" Target="https://www.fotocasa.es" TargetMode="External"/><Relationship Id="rId22" Type="http://schemas.openxmlformats.org/officeDocument/2006/relationships/hyperlink" Target="http://prensa.fotocasa.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54C2B-60A9-4891-9893-792F7F2BA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1207</TotalTime>
  <Pages>5</Pages>
  <Words>1466</Words>
  <Characters>8066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Urrea Rodriguez</dc:creator>
  <cp:keywords/>
  <dc:description/>
  <cp:lastModifiedBy>Anaïs López García</cp:lastModifiedBy>
  <cp:revision>87</cp:revision>
  <cp:lastPrinted>2019-05-06T06:47:00Z</cp:lastPrinted>
  <dcterms:created xsi:type="dcterms:W3CDTF">2018-08-31T08:03:00Z</dcterms:created>
  <dcterms:modified xsi:type="dcterms:W3CDTF">2019-05-06T07:35:00Z</dcterms:modified>
</cp:coreProperties>
</file>