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581B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7E8498C5" wp14:editId="3FE5B347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FE717" w14:textId="77777777" w:rsidR="008B29C8" w:rsidRDefault="00350011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8012AAF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2FCF406F" w14:textId="77777777"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14:paraId="3CE7B964" w14:textId="77777777" w:rsidR="00753088" w:rsidRPr="00753088" w:rsidRDefault="000F656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ENERO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20C00DB8" w14:textId="77777777" w:rsidR="00A84CA7" w:rsidRPr="001E61FA" w:rsidRDefault="00FF53CF" w:rsidP="00FF53CF">
      <w:pPr>
        <w:ind w:right="-574"/>
        <w:jc w:val="center"/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</w:pPr>
      <w:r w:rsidRPr="001E61FA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 xml:space="preserve">El precio de la vivienda de segunda mano </w:t>
      </w:r>
      <w:r w:rsidR="00C06F44" w:rsidRPr="001E61FA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>se incrementa un 0,</w:t>
      </w:r>
      <w:r w:rsidR="008A3781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>4</w:t>
      </w:r>
      <w:r w:rsidR="00C06F44" w:rsidRPr="001E61FA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 xml:space="preserve">% en </w:t>
      </w:r>
      <w:r w:rsidR="008A3781">
        <w:rPr>
          <w:rFonts w:ascii="National" w:hAnsi="National"/>
          <w:b/>
          <w:bCs/>
          <w:iCs/>
          <w:color w:val="303AB2"/>
          <w:sz w:val="46"/>
          <w:szCs w:val="72"/>
          <w:lang w:val="es-ES"/>
        </w:rPr>
        <w:t>el mes de enero</w:t>
      </w:r>
    </w:p>
    <w:p w14:paraId="02DAFDE6" w14:textId="77777777" w:rsidR="00C06F44" w:rsidRPr="005029E9" w:rsidRDefault="00C06F44" w:rsidP="00FF53CF">
      <w:pPr>
        <w:ind w:right="-574"/>
        <w:jc w:val="center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14:paraId="264B20EC" w14:textId="77777777" w:rsidR="00FF53CF" w:rsidRPr="009B6AE8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El precio mensual sube en </w:t>
      </w:r>
      <w:r w:rsidR="009B6AE8"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1</w:t>
      </w:r>
      <w:r w:rsidR="008A3781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1</w:t>
      </w:r>
      <w:r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comunidades autónomas</w:t>
      </w:r>
    </w:p>
    <w:p w14:paraId="2B3AB257" w14:textId="77777777" w:rsidR="007D43C2" w:rsidRPr="009B6AE8" w:rsidRDefault="00FF53CF" w:rsidP="007E58FC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Interanualmente, el precio de </w:t>
      </w:r>
      <w:r w:rsidR="007D43C2"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vivienda se incrementa un 7</w:t>
      </w:r>
      <w:r w:rsidR="009B6AE8"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,</w:t>
      </w:r>
      <w:r w:rsidR="008A3781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7</w:t>
      </w:r>
      <w:r w:rsidR="009B6AE8"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% y suma 2</w:t>
      </w:r>
      <w:r w:rsidR="008A3781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8</w:t>
      </w:r>
      <w:r w:rsidR="007D43C2" w:rsidRPr="009B6AE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meses consecutivos de incrementos</w:t>
      </w:r>
    </w:p>
    <w:p w14:paraId="05D86B5B" w14:textId="77777777" w:rsidR="00FF53CF" w:rsidRPr="008E4D21" w:rsidRDefault="008E4D21" w:rsidP="007E58FC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8E4D21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27</w:t>
      </w:r>
      <w:r w:rsidR="00FF53CF" w:rsidRPr="008E4D21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provincias incrementan el precio mensual en el mes de </w:t>
      </w:r>
      <w:r w:rsidRPr="008E4D21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enero</w:t>
      </w:r>
    </w:p>
    <w:p w14:paraId="5A9B3AEE" w14:textId="77777777" w:rsidR="00FF53CF" w:rsidRPr="00831318" w:rsidRDefault="00FF53CF" w:rsidP="00FF53CF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83131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Sube el precio en </w:t>
      </w:r>
      <w:r w:rsidR="00831318" w:rsidRPr="0083131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16</w:t>
      </w:r>
      <w:r w:rsidR="009B6AE8" w:rsidRPr="0083131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distritos de Madrid y </w:t>
      </w:r>
      <w:r w:rsidR="00831318" w:rsidRPr="0083131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en cinco de Barcelona</w:t>
      </w:r>
    </w:p>
    <w:p w14:paraId="10309122" w14:textId="77777777" w:rsidR="007836C2" w:rsidRDefault="007836C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23C8292" w14:textId="3C9F6A97"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350011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6</w:t>
      </w:r>
      <w:bookmarkStart w:id="0" w:name="_GoBack"/>
      <w:bookmarkEnd w:id="0"/>
      <w:r w:rsidR="00C06F4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</w:t>
      </w:r>
      <w:r w:rsidR="000F656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febrero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</w:t>
      </w:r>
      <w:r w:rsidR="000F656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9</w:t>
      </w:r>
    </w:p>
    <w:p w14:paraId="5669DDE0" w14:textId="77777777" w:rsidR="008062B1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El precio medio de la vivienda de segunda mano en España se sitúa en </w:t>
      </w:r>
      <w:r w:rsidR="004C1ED5">
        <w:rPr>
          <w:rFonts w:ascii="Open Sans" w:hAnsi="Open Sans" w:cs="Open Sans"/>
          <w:color w:val="000000"/>
        </w:rPr>
        <w:t>enero</w:t>
      </w:r>
      <w:r w:rsidR="007D43C2">
        <w:rPr>
          <w:rFonts w:ascii="Open Sans" w:hAnsi="Open Sans" w:cs="Open Sans"/>
          <w:color w:val="000000"/>
        </w:rPr>
        <w:t xml:space="preserve"> </w:t>
      </w:r>
      <w:r w:rsidRPr="00FF53CF">
        <w:rPr>
          <w:rFonts w:ascii="Open Sans" w:hAnsi="Open Sans" w:cs="Open Sans"/>
          <w:color w:val="000000"/>
        </w:rPr>
        <w:t>en 1.8</w:t>
      </w:r>
      <w:r w:rsidR="004C1ED5">
        <w:rPr>
          <w:rFonts w:ascii="Open Sans" w:hAnsi="Open Sans" w:cs="Open Sans"/>
          <w:color w:val="000000"/>
        </w:rPr>
        <w:t>76</w:t>
      </w:r>
      <w:r w:rsidRPr="00FF53CF">
        <w:rPr>
          <w:rFonts w:ascii="Open Sans" w:hAnsi="Open Sans" w:cs="Open Sans"/>
          <w:color w:val="000000"/>
        </w:rPr>
        <w:t xml:space="preserve"> €/m2 y </w:t>
      </w:r>
      <w:r w:rsidR="00C06F44">
        <w:rPr>
          <w:rFonts w:ascii="Open Sans" w:hAnsi="Open Sans" w:cs="Open Sans"/>
          <w:color w:val="000000"/>
        </w:rPr>
        <w:t>se incrementa un 0,</w:t>
      </w:r>
      <w:r w:rsidR="004C1ED5">
        <w:rPr>
          <w:rFonts w:ascii="Open Sans" w:hAnsi="Open Sans" w:cs="Open Sans"/>
          <w:color w:val="000000"/>
        </w:rPr>
        <w:t>4</w:t>
      </w:r>
      <w:r w:rsidR="00C06F44">
        <w:rPr>
          <w:rFonts w:ascii="Open Sans" w:hAnsi="Open Sans" w:cs="Open Sans"/>
          <w:color w:val="000000"/>
        </w:rPr>
        <w:t xml:space="preserve">% respecto al mes de </w:t>
      </w:r>
      <w:r w:rsidR="00DE4584">
        <w:rPr>
          <w:rFonts w:ascii="Open Sans" w:hAnsi="Open Sans" w:cs="Open Sans"/>
          <w:color w:val="000000"/>
        </w:rPr>
        <w:t>diciembre</w:t>
      </w:r>
      <w:r w:rsidR="00B70D0B">
        <w:rPr>
          <w:rFonts w:ascii="Open Sans" w:hAnsi="Open Sans" w:cs="Open Sans"/>
          <w:color w:val="000000"/>
        </w:rPr>
        <w:t>, s</w:t>
      </w:r>
      <w:r w:rsidRPr="00FF53CF">
        <w:rPr>
          <w:rFonts w:ascii="Open Sans" w:hAnsi="Open Sans" w:cs="Open Sans"/>
          <w:color w:val="000000"/>
        </w:rPr>
        <w:t>egún datos del portal inmobiliario </w:t>
      </w:r>
      <w:hyperlink r:id="rId9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FF53CF">
        <w:rPr>
          <w:rFonts w:ascii="Open Sans" w:hAnsi="Open Sans" w:cs="Open Sans"/>
          <w:color w:val="000000"/>
        </w:rPr>
        <w:t>.</w:t>
      </w:r>
      <w:r w:rsidR="009D0F6B">
        <w:rPr>
          <w:rFonts w:ascii="Open Sans" w:hAnsi="Open Sans" w:cs="Open Sans"/>
          <w:color w:val="000000"/>
        </w:rPr>
        <w:t xml:space="preserve"> </w:t>
      </w:r>
      <w:r w:rsidR="008062B1">
        <w:rPr>
          <w:rFonts w:ascii="Open Sans" w:hAnsi="Open Sans" w:cs="Open Sans"/>
          <w:color w:val="000000"/>
        </w:rPr>
        <w:t xml:space="preserve">Este </w:t>
      </w:r>
      <w:r w:rsidR="00555725">
        <w:rPr>
          <w:rFonts w:ascii="Open Sans" w:hAnsi="Open Sans" w:cs="Open Sans"/>
          <w:color w:val="000000"/>
        </w:rPr>
        <w:t xml:space="preserve">leve </w:t>
      </w:r>
      <w:r w:rsidR="008062B1">
        <w:rPr>
          <w:rFonts w:ascii="Open Sans" w:hAnsi="Open Sans" w:cs="Open Sans"/>
          <w:color w:val="000000"/>
        </w:rPr>
        <w:t xml:space="preserve">incremento mensual sigue en la tónica alcista de todo el </w:t>
      </w:r>
      <w:r w:rsidR="00E903FB">
        <w:rPr>
          <w:rFonts w:ascii="Open Sans" w:hAnsi="Open Sans" w:cs="Open Sans"/>
          <w:color w:val="000000"/>
        </w:rPr>
        <w:t>pasado año</w:t>
      </w:r>
      <w:r w:rsidR="008062B1">
        <w:rPr>
          <w:rFonts w:ascii="Open Sans" w:hAnsi="Open Sans" w:cs="Open Sans"/>
          <w:color w:val="000000"/>
        </w:rPr>
        <w:t xml:space="preserve">, aunque son incrementos mensuales leves. Así, durante </w:t>
      </w:r>
      <w:r w:rsidR="00314636">
        <w:rPr>
          <w:rFonts w:ascii="Open Sans" w:hAnsi="Open Sans" w:cs="Open Sans"/>
          <w:color w:val="000000"/>
        </w:rPr>
        <w:t>el pasado</w:t>
      </w:r>
      <w:r w:rsidR="008062B1">
        <w:rPr>
          <w:rFonts w:ascii="Open Sans" w:hAnsi="Open Sans" w:cs="Open Sans"/>
          <w:color w:val="000000"/>
        </w:rPr>
        <w:t xml:space="preserve"> 2018 los incrementos mensuales se han ido moviendo entre el 0,3% y el 0,9%. El incremento más acusado se produjo del mes de abril a mayo cuando el precio subió un 1,3%. </w:t>
      </w:r>
    </w:p>
    <w:p w14:paraId="3671B51D" w14:textId="77777777" w:rsidR="009D0F6B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Respecto a la variación interanual, en </w:t>
      </w:r>
      <w:r w:rsidR="00314636">
        <w:rPr>
          <w:rFonts w:ascii="Open Sans" w:hAnsi="Open Sans" w:cs="Open Sans"/>
          <w:color w:val="000000"/>
        </w:rPr>
        <w:t>enero</w:t>
      </w:r>
      <w:r w:rsidRPr="00FF53CF">
        <w:rPr>
          <w:rFonts w:ascii="Open Sans" w:hAnsi="Open Sans" w:cs="Open Sans"/>
          <w:color w:val="000000"/>
        </w:rPr>
        <w:t xml:space="preserve"> de 201</w:t>
      </w:r>
      <w:r w:rsidR="00314636">
        <w:rPr>
          <w:rFonts w:ascii="Open Sans" w:hAnsi="Open Sans" w:cs="Open Sans"/>
          <w:color w:val="000000"/>
        </w:rPr>
        <w:t>9</w:t>
      </w:r>
      <w:r w:rsidRPr="00FF53CF">
        <w:rPr>
          <w:rFonts w:ascii="Open Sans" w:hAnsi="Open Sans" w:cs="Open Sans"/>
          <w:color w:val="000000"/>
        </w:rPr>
        <w:t xml:space="preserve"> el precio de la vivienda de segunda mano sub</w:t>
      </w:r>
      <w:r w:rsidR="009D0F6B">
        <w:rPr>
          <w:rFonts w:ascii="Open Sans" w:hAnsi="Open Sans" w:cs="Open Sans"/>
          <w:color w:val="000000"/>
        </w:rPr>
        <w:t>e un 7</w:t>
      </w:r>
      <w:r w:rsidR="008062B1">
        <w:rPr>
          <w:rFonts w:ascii="Open Sans" w:hAnsi="Open Sans" w:cs="Open Sans"/>
          <w:color w:val="000000"/>
        </w:rPr>
        <w:t>,</w:t>
      </w:r>
      <w:r w:rsidR="00314636">
        <w:rPr>
          <w:rFonts w:ascii="Open Sans" w:hAnsi="Open Sans" w:cs="Open Sans"/>
          <w:color w:val="000000"/>
        </w:rPr>
        <w:t>7</w:t>
      </w:r>
      <w:r w:rsidRPr="00FF53CF">
        <w:rPr>
          <w:rFonts w:ascii="Open Sans" w:hAnsi="Open Sans" w:cs="Open Sans"/>
          <w:color w:val="000000"/>
        </w:rPr>
        <w:t>% y encadena 2</w:t>
      </w:r>
      <w:r w:rsidR="00314636">
        <w:rPr>
          <w:rFonts w:ascii="Open Sans" w:hAnsi="Open Sans" w:cs="Open Sans"/>
          <w:color w:val="000000"/>
        </w:rPr>
        <w:t>8</w:t>
      </w:r>
      <w:r w:rsidRPr="00FF53CF">
        <w:rPr>
          <w:rFonts w:ascii="Open Sans" w:hAnsi="Open Sans" w:cs="Open Sans"/>
          <w:color w:val="000000"/>
        </w:rPr>
        <w:t xml:space="preserve"> meses de subidas interanuales consecutivas. </w:t>
      </w:r>
      <w:r w:rsidR="009D0F6B">
        <w:rPr>
          <w:rFonts w:ascii="Open Sans" w:hAnsi="Open Sans" w:cs="Open Sans"/>
          <w:color w:val="000000"/>
        </w:rPr>
        <w:t xml:space="preserve">De hecho, los últimos </w:t>
      </w:r>
      <w:r w:rsidR="00314636">
        <w:rPr>
          <w:rFonts w:ascii="Open Sans" w:hAnsi="Open Sans" w:cs="Open Sans"/>
          <w:color w:val="000000"/>
        </w:rPr>
        <w:t>siete</w:t>
      </w:r>
      <w:r w:rsidR="009D0F6B">
        <w:rPr>
          <w:rFonts w:ascii="Open Sans" w:hAnsi="Open Sans" w:cs="Open Sans"/>
          <w:color w:val="000000"/>
        </w:rPr>
        <w:t xml:space="preserve"> meses la variación interanual se sitúa por encima del 7%</w:t>
      </w:r>
      <w:r w:rsidR="00074288">
        <w:rPr>
          <w:rFonts w:ascii="Open Sans" w:hAnsi="Open Sans" w:cs="Open Sans"/>
          <w:color w:val="000000"/>
        </w:rPr>
        <w:t xml:space="preserve"> y el pasado mes de septiembre</w:t>
      </w:r>
      <w:r w:rsidR="009D0F6B">
        <w:rPr>
          <w:rFonts w:ascii="Open Sans" w:hAnsi="Open Sans" w:cs="Open Sans"/>
          <w:color w:val="000000"/>
        </w:rPr>
        <w:t xml:space="preserve"> se registró la variación interanual más acusada de todo el histórico del </w:t>
      </w:r>
      <w:hyperlink r:id="rId10" w:history="1">
        <w:r w:rsidR="009D0F6B" w:rsidRPr="008373B8">
          <w:rPr>
            <w:rStyle w:val="Hipervnculo"/>
            <w:rFonts w:ascii="Open Sans" w:hAnsi="Open Sans" w:cs="Open Sans"/>
          </w:rPr>
          <w:t>Índice Inmobiliario Fotocasa</w:t>
        </w:r>
      </w:hyperlink>
      <w:r w:rsidR="009D0F6B">
        <w:rPr>
          <w:rFonts w:ascii="Open Sans" w:hAnsi="Open Sans" w:cs="Open Sans"/>
          <w:color w:val="000000"/>
        </w:rPr>
        <w:t xml:space="preserve"> con un 7,8%. </w:t>
      </w:r>
    </w:p>
    <w:p w14:paraId="433DF21A" w14:textId="77777777" w:rsidR="00DA4CE3" w:rsidRPr="00EE7458" w:rsidRDefault="00DA4CE3" w:rsidP="00DA4CE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914F28">
        <w:rPr>
          <w:rFonts w:ascii="Open Sans" w:hAnsi="Open Sans" w:cs="Open Sans"/>
          <w:color w:val="000000"/>
        </w:rPr>
        <w:t>“</w:t>
      </w:r>
      <w:r w:rsidR="00914F28" w:rsidRPr="00914F28">
        <w:rPr>
          <w:rFonts w:ascii="Open Sans" w:hAnsi="Open Sans" w:cs="Open Sans"/>
          <w:color w:val="000000"/>
        </w:rPr>
        <w:t xml:space="preserve">Los datos mensuales del índice de precios de </w:t>
      </w:r>
      <w:hyperlink r:id="rId11" w:history="1">
        <w:r w:rsidR="00914F28"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="00914F28" w:rsidRPr="00914F28">
        <w:rPr>
          <w:rFonts w:ascii="Open Sans" w:hAnsi="Open Sans" w:cs="Open Sans"/>
          <w:color w:val="000000"/>
        </w:rPr>
        <w:t xml:space="preserve"> nos revelan que el encarecimiento del precio de la vivienda de segunda mano tiende a moderarse tras el fuerte repunte registrado en 2018. Además, se aprecia que las subidas se concentran sobre todo en Madrid, Cataluña y las islas, mientras que el resto del país se mueve a un ritmo más pausado. Todo apunta a que a medida que avance 2019, los precios continuarán con esta tendencia hacia la moderación, salvo en zonas y barrios muy concretos</w:t>
      </w:r>
      <w:r w:rsidRPr="00914F28">
        <w:rPr>
          <w:rFonts w:ascii="Open Sans" w:hAnsi="Open Sans" w:cs="Open Sans"/>
        </w:rPr>
        <w:t xml:space="preserve">” </w:t>
      </w:r>
      <w:r w:rsidRPr="00914F28">
        <w:rPr>
          <w:rFonts w:ascii="Open Sans" w:hAnsi="Open Sans" w:cs="Open Sans"/>
          <w:color w:val="000000"/>
        </w:rPr>
        <w:t xml:space="preserve">explica Beatriz Toribio, directora de Estudios de </w:t>
      </w:r>
      <w:hyperlink r:id="rId12" w:history="1">
        <w:r w:rsidRPr="00914F28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914F28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</w:t>
      </w:r>
    </w:p>
    <w:p w14:paraId="3A7D9DBF" w14:textId="77777777"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lastRenderedPageBreak/>
        <w:t xml:space="preserve">El precio medio de la vivienda de segunda mano en </w:t>
      </w:r>
      <w:r w:rsidR="008062B1">
        <w:rPr>
          <w:rFonts w:ascii="Open Sans" w:hAnsi="Open Sans" w:cs="Open Sans"/>
          <w:color w:val="000000"/>
        </w:rPr>
        <w:t>España acumula una caída</w:t>
      </w:r>
      <w:r w:rsidR="0077674C">
        <w:rPr>
          <w:rFonts w:ascii="Open Sans" w:hAnsi="Open Sans" w:cs="Open Sans"/>
          <w:color w:val="000000"/>
        </w:rPr>
        <w:t xml:space="preserve"> total</w:t>
      </w:r>
      <w:r w:rsidR="008062B1">
        <w:rPr>
          <w:rFonts w:ascii="Open Sans" w:hAnsi="Open Sans" w:cs="Open Sans"/>
          <w:color w:val="000000"/>
        </w:rPr>
        <w:t xml:space="preserve"> de -3</w:t>
      </w:r>
      <w:r w:rsidR="0077674C">
        <w:rPr>
          <w:rFonts w:ascii="Open Sans" w:hAnsi="Open Sans" w:cs="Open Sans"/>
          <w:color w:val="000000"/>
        </w:rPr>
        <w:t>6,5</w:t>
      </w:r>
      <w:r w:rsidRPr="00FF53CF">
        <w:rPr>
          <w:rFonts w:ascii="Open Sans" w:hAnsi="Open Sans" w:cs="Open Sans"/>
          <w:color w:val="000000"/>
        </w:rPr>
        <w:t xml:space="preserve">% desde que registrara su máximo histórico en abril de 2007 con 2.952 €/m2. </w:t>
      </w:r>
    </w:p>
    <w:p w14:paraId="00197B1D" w14:textId="77777777" w:rsidR="00FF53CF" w:rsidRPr="00FF53CF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D660C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El precio </w:t>
      </w:r>
      <w:r w:rsidR="008062B1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mensual </w:t>
      </w:r>
      <w:r w:rsidRPr="00D660C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se incrementa en </w:t>
      </w:r>
      <w:r w:rsidR="0077674C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11</w:t>
      </w:r>
      <w:r w:rsidRPr="00D660C5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comunidades autónomas</w:t>
      </w:r>
    </w:p>
    <w:p w14:paraId="6C94A907" w14:textId="32CA85EB" w:rsidR="0077674C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De las 17 comunidades autónomas, en </w:t>
      </w:r>
      <w:r w:rsidR="0077674C">
        <w:rPr>
          <w:rFonts w:ascii="Open Sans" w:hAnsi="Open Sans" w:cs="Open Sans"/>
          <w:color w:val="000000"/>
        </w:rPr>
        <w:t>enero</w:t>
      </w:r>
      <w:r w:rsidRPr="00FF53CF">
        <w:rPr>
          <w:rFonts w:ascii="Open Sans" w:hAnsi="Open Sans" w:cs="Open Sans"/>
          <w:color w:val="000000"/>
        </w:rPr>
        <w:t xml:space="preserve"> el precio medio de la vi</w:t>
      </w:r>
      <w:r w:rsidR="00763677">
        <w:rPr>
          <w:rFonts w:ascii="Open Sans" w:hAnsi="Open Sans" w:cs="Open Sans"/>
          <w:color w:val="000000"/>
        </w:rPr>
        <w:t xml:space="preserve">vienda de segunda mano sube en </w:t>
      </w:r>
      <w:r w:rsidR="008062B1">
        <w:rPr>
          <w:rFonts w:ascii="Open Sans" w:hAnsi="Open Sans" w:cs="Open Sans"/>
          <w:color w:val="000000"/>
        </w:rPr>
        <w:t>1</w:t>
      </w:r>
      <w:r w:rsidR="0077674C">
        <w:rPr>
          <w:rFonts w:ascii="Open Sans" w:hAnsi="Open Sans" w:cs="Open Sans"/>
          <w:color w:val="000000"/>
        </w:rPr>
        <w:t>1</w:t>
      </w:r>
      <w:r w:rsidRPr="00FF53CF">
        <w:rPr>
          <w:rFonts w:ascii="Open Sans" w:hAnsi="Open Sans" w:cs="Open Sans"/>
          <w:color w:val="000000"/>
        </w:rPr>
        <w:t xml:space="preserve"> de ellas. El incremento más acusado se produce </w:t>
      </w:r>
      <w:r w:rsidR="0077674C">
        <w:rPr>
          <w:rFonts w:ascii="Open Sans" w:hAnsi="Open Sans" w:cs="Open Sans"/>
          <w:color w:val="000000"/>
        </w:rPr>
        <w:t>en Madrid</w:t>
      </w:r>
      <w:r w:rsidR="00763677">
        <w:rPr>
          <w:rFonts w:ascii="Open Sans" w:hAnsi="Open Sans" w:cs="Open Sans"/>
          <w:color w:val="000000"/>
        </w:rPr>
        <w:t xml:space="preserve"> (</w:t>
      </w:r>
      <w:r w:rsidR="0077674C">
        <w:rPr>
          <w:rFonts w:ascii="Open Sans" w:hAnsi="Open Sans" w:cs="Open Sans"/>
          <w:color w:val="000000"/>
        </w:rPr>
        <w:t>1,6</w:t>
      </w:r>
      <w:r w:rsidR="00763677">
        <w:rPr>
          <w:rFonts w:ascii="Open Sans" w:hAnsi="Open Sans" w:cs="Open Sans"/>
          <w:color w:val="000000"/>
        </w:rPr>
        <w:t>%),</w:t>
      </w:r>
      <w:r w:rsidR="00D616F7">
        <w:rPr>
          <w:rFonts w:ascii="Open Sans" w:hAnsi="Open Sans" w:cs="Open Sans"/>
          <w:color w:val="000000"/>
        </w:rPr>
        <w:t xml:space="preserve"> seguido de</w:t>
      </w:r>
      <w:r w:rsidR="0077674C">
        <w:rPr>
          <w:rFonts w:ascii="Open Sans" w:hAnsi="Open Sans" w:cs="Open Sans"/>
          <w:color w:val="000000"/>
        </w:rPr>
        <w:t xml:space="preserve"> Navarra (1,4%), Baleares (1,1%) y Galicia (0,5</w:t>
      </w:r>
      <w:r w:rsidR="001150E7">
        <w:rPr>
          <w:rFonts w:ascii="Open Sans" w:hAnsi="Open Sans" w:cs="Open Sans"/>
          <w:color w:val="000000"/>
        </w:rPr>
        <w:t>%).</w:t>
      </w:r>
    </w:p>
    <w:p w14:paraId="1E2552CE" w14:textId="77777777" w:rsidR="0077674C" w:rsidRDefault="00D616F7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el otro extremo, </w:t>
      </w:r>
      <w:r w:rsidR="0077674C">
        <w:rPr>
          <w:rFonts w:ascii="Open Sans" w:hAnsi="Open Sans" w:cs="Open Sans"/>
          <w:color w:val="000000"/>
        </w:rPr>
        <w:t xml:space="preserve">Cataluña (-0,7%), la </w:t>
      </w:r>
      <w:proofErr w:type="spellStart"/>
      <w:r w:rsidR="0077674C">
        <w:rPr>
          <w:rFonts w:ascii="Open Sans" w:hAnsi="Open Sans" w:cs="Open Sans"/>
          <w:color w:val="000000"/>
        </w:rPr>
        <w:t>Comunitat</w:t>
      </w:r>
      <w:proofErr w:type="spellEnd"/>
      <w:r w:rsidR="0077674C">
        <w:rPr>
          <w:rFonts w:ascii="Open Sans" w:hAnsi="Open Sans" w:cs="Open Sans"/>
          <w:color w:val="000000"/>
        </w:rPr>
        <w:t xml:space="preserve"> Valenciana (-0,4%) y Castilla-La Mancha (-0,3%) son las comunidades que más descienden el precio en el mes de enero. </w:t>
      </w:r>
    </w:p>
    <w:p w14:paraId="18E66142" w14:textId="77777777" w:rsid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En cuanto a los precios, Madrid se sitúa como la comunidad más cara de España para comprar una vivienda de segunda mano, con un precio medio de 2.</w:t>
      </w:r>
      <w:r w:rsidR="0077674C">
        <w:rPr>
          <w:rFonts w:ascii="Open Sans" w:hAnsi="Open Sans" w:cs="Open Sans"/>
          <w:color w:val="000000"/>
        </w:rPr>
        <w:t>930</w:t>
      </w:r>
      <w:r w:rsidRPr="00FF53CF">
        <w:rPr>
          <w:rFonts w:ascii="Open Sans" w:hAnsi="Open Sans" w:cs="Open Sans"/>
          <w:color w:val="000000"/>
        </w:rPr>
        <w:t xml:space="preserve"> €/m2, seguido de País Vasco (2.7</w:t>
      </w:r>
      <w:r w:rsidR="008E3EB4">
        <w:rPr>
          <w:rFonts w:ascii="Open Sans" w:hAnsi="Open Sans" w:cs="Open Sans"/>
          <w:color w:val="000000"/>
        </w:rPr>
        <w:t>9</w:t>
      </w:r>
      <w:r w:rsidR="0077674C">
        <w:rPr>
          <w:rFonts w:ascii="Open Sans" w:hAnsi="Open Sans" w:cs="Open Sans"/>
          <w:color w:val="000000"/>
        </w:rPr>
        <w:t>8</w:t>
      </w:r>
      <w:r w:rsidRPr="00FF53CF">
        <w:rPr>
          <w:rFonts w:ascii="Open Sans" w:hAnsi="Open Sans" w:cs="Open Sans"/>
          <w:color w:val="000000"/>
        </w:rPr>
        <w:t xml:space="preserve"> €/m2)</w:t>
      </w:r>
      <w:r w:rsidR="0077674C">
        <w:rPr>
          <w:rFonts w:ascii="Open Sans" w:hAnsi="Open Sans" w:cs="Open Sans"/>
          <w:color w:val="000000"/>
        </w:rPr>
        <w:t xml:space="preserve">, Baleares (2.561 </w:t>
      </w:r>
      <w:r w:rsidR="0077674C" w:rsidRPr="00FF53CF">
        <w:rPr>
          <w:rFonts w:ascii="Open Sans" w:hAnsi="Open Sans" w:cs="Open Sans"/>
          <w:color w:val="000000"/>
        </w:rPr>
        <w:t>€/m2</w:t>
      </w:r>
      <w:r w:rsidR="0077674C">
        <w:rPr>
          <w:rFonts w:ascii="Open Sans" w:hAnsi="Open Sans" w:cs="Open Sans"/>
          <w:color w:val="000000"/>
        </w:rPr>
        <w:t xml:space="preserve">) y Cataluña (2.526 </w:t>
      </w:r>
      <w:r w:rsidR="0077674C" w:rsidRPr="00FF53CF">
        <w:rPr>
          <w:rFonts w:ascii="Open Sans" w:hAnsi="Open Sans" w:cs="Open Sans"/>
          <w:color w:val="000000"/>
        </w:rPr>
        <w:t>€/m2</w:t>
      </w:r>
      <w:r w:rsidR="0077674C">
        <w:rPr>
          <w:rFonts w:ascii="Open Sans" w:hAnsi="Open Sans" w:cs="Open Sans"/>
          <w:color w:val="000000"/>
        </w:rPr>
        <w:t xml:space="preserve">). </w:t>
      </w:r>
      <w:r w:rsidRPr="00FF53CF">
        <w:rPr>
          <w:rFonts w:ascii="Open Sans" w:hAnsi="Open Sans" w:cs="Open Sans"/>
          <w:color w:val="000000"/>
        </w:rPr>
        <w:t>Por el contrario, Extremadura (1.10</w:t>
      </w:r>
      <w:r w:rsidR="008E3EB4">
        <w:rPr>
          <w:rFonts w:ascii="Open Sans" w:hAnsi="Open Sans" w:cs="Open Sans"/>
          <w:color w:val="000000"/>
        </w:rPr>
        <w:t>9</w:t>
      </w:r>
      <w:r w:rsidRPr="00FF53CF">
        <w:rPr>
          <w:rFonts w:ascii="Open Sans" w:hAnsi="Open Sans" w:cs="Open Sans"/>
          <w:color w:val="000000"/>
        </w:rPr>
        <w:t xml:space="preserve"> €/m2), Castilla-La Mancha (1.1</w:t>
      </w:r>
      <w:r w:rsidR="00661226">
        <w:rPr>
          <w:rFonts w:ascii="Open Sans" w:hAnsi="Open Sans" w:cs="Open Sans"/>
          <w:color w:val="000000"/>
        </w:rPr>
        <w:t>1</w:t>
      </w:r>
      <w:r w:rsidR="0077674C">
        <w:rPr>
          <w:rFonts w:ascii="Open Sans" w:hAnsi="Open Sans" w:cs="Open Sans"/>
          <w:color w:val="000000"/>
        </w:rPr>
        <w:t>5</w:t>
      </w:r>
      <w:r w:rsidRPr="00FF53CF">
        <w:rPr>
          <w:rFonts w:ascii="Open Sans" w:hAnsi="Open Sans" w:cs="Open Sans"/>
          <w:color w:val="000000"/>
        </w:rPr>
        <w:t xml:space="preserve"> €/m2) y Murcia (1.1</w:t>
      </w:r>
      <w:r w:rsidR="008E3EB4">
        <w:rPr>
          <w:rFonts w:ascii="Open Sans" w:hAnsi="Open Sans" w:cs="Open Sans"/>
          <w:color w:val="000000"/>
        </w:rPr>
        <w:t>4</w:t>
      </w:r>
      <w:r w:rsidR="0077674C">
        <w:rPr>
          <w:rFonts w:ascii="Open Sans" w:hAnsi="Open Sans" w:cs="Open Sans"/>
          <w:color w:val="000000"/>
        </w:rPr>
        <w:t>0</w:t>
      </w:r>
      <w:r w:rsidRPr="00FF53CF">
        <w:rPr>
          <w:rFonts w:ascii="Open Sans" w:hAnsi="Open Sans" w:cs="Open Sans"/>
          <w:color w:val="000000"/>
        </w:rPr>
        <w:t xml:space="preserve"> €/m2) son las comunidades con los precios de la vivienda de segunda mano más asequibles. </w:t>
      </w:r>
    </w:p>
    <w:p w14:paraId="592DF233" w14:textId="77777777" w:rsidR="00FF53CF" w:rsidRPr="00FF53CF" w:rsidRDefault="00FF53CF" w:rsidP="007836C2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Precio medio de la vivienda por CC.AA y variaciones</w:t>
      </w:r>
    </w:p>
    <w:p w14:paraId="52B16478" w14:textId="77777777" w:rsidR="00FF53CF" w:rsidRPr="00901EA6" w:rsidRDefault="00FF53CF" w:rsidP="00FF53CF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concuadrcula5oscura-nfasis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  <w:gridCol w:w="1559"/>
      </w:tblGrid>
      <w:tr w:rsidR="00FF53CF" w14:paraId="6624767B" w14:textId="77777777" w:rsidTr="00914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68368B" w14:textId="77777777" w:rsidR="00FF53CF" w:rsidRPr="005A301B" w:rsidRDefault="00FF53CF" w:rsidP="001C420A">
            <w:pPr>
              <w:jc w:val="center"/>
            </w:pPr>
            <w:r w:rsidRPr="005A301B">
              <w:t>CC.AA.</w:t>
            </w:r>
          </w:p>
        </w:tc>
        <w:tc>
          <w:tcPr>
            <w:tcW w:w="1701" w:type="dxa"/>
          </w:tcPr>
          <w:p w14:paraId="0B01625E" w14:textId="77777777" w:rsidR="004F52D0" w:rsidRDefault="004F52D0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Enero</w:t>
            </w:r>
            <w:r w:rsidR="00FF53CF">
              <w:t xml:space="preserve"> </w:t>
            </w:r>
          </w:p>
          <w:p w14:paraId="4F276AF7" w14:textId="77777777"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4F52D0">
              <w:t>9</w:t>
            </w:r>
          </w:p>
        </w:tc>
        <w:tc>
          <w:tcPr>
            <w:tcW w:w="1701" w:type="dxa"/>
          </w:tcPr>
          <w:p w14:paraId="363F7620" w14:textId="77777777"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559" w:type="dxa"/>
          </w:tcPr>
          <w:p w14:paraId="3BA36EC9" w14:textId="77777777"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559" w:type="dxa"/>
          </w:tcPr>
          <w:p w14:paraId="07DDE19A" w14:textId="77777777" w:rsidR="00FF53CF" w:rsidRPr="005A301B" w:rsidRDefault="00FF53CF" w:rsidP="001C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4F52D0" w:rsidRPr="00544375" w14:paraId="40041A10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FE24CF7" w14:textId="77777777" w:rsidR="004F52D0" w:rsidRPr="008E3EB4" w:rsidRDefault="004F52D0" w:rsidP="004F52D0">
            <w:pPr>
              <w:jc w:val="right"/>
              <w:rPr>
                <w:rFonts w:ascii="Calibri" w:hAnsi="Calibri"/>
              </w:rPr>
            </w:pPr>
            <w:r w:rsidRPr="008E3EB4">
              <w:rPr>
                <w:rFonts w:ascii="Calibri" w:hAnsi="Calibri"/>
              </w:rPr>
              <w:t>Madrid</w:t>
            </w:r>
          </w:p>
        </w:tc>
        <w:tc>
          <w:tcPr>
            <w:tcW w:w="1701" w:type="dxa"/>
            <w:vAlign w:val="bottom"/>
          </w:tcPr>
          <w:p w14:paraId="47AF5202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2.930</w:t>
            </w:r>
          </w:p>
        </w:tc>
        <w:tc>
          <w:tcPr>
            <w:tcW w:w="1701" w:type="dxa"/>
            <w:vAlign w:val="bottom"/>
          </w:tcPr>
          <w:p w14:paraId="2BE9EBFF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1,6 %</w:t>
            </w:r>
          </w:p>
        </w:tc>
        <w:tc>
          <w:tcPr>
            <w:tcW w:w="1559" w:type="dxa"/>
            <w:vAlign w:val="bottom"/>
          </w:tcPr>
          <w:p w14:paraId="480F643D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19,8 %</w:t>
            </w:r>
          </w:p>
        </w:tc>
        <w:tc>
          <w:tcPr>
            <w:tcW w:w="1559" w:type="dxa"/>
            <w:vAlign w:val="bottom"/>
          </w:tcPr>
          <w:p w14:paraId="11854065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-26,2%</w:t>
            </w:r>
          </w:p>
        </w:tc>
      </w:tr>
      <w:tr w:rsidR="004F52D0" w:rsidRPr="00544375" w14:paraId="0A167AAF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868BA91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País Vasco</w:t>
            </w:r>
          </w:p>
        </w:tc>
        <w:tc>
          <w:tcPr>
            <w:tcW w:w="1701" w:type="dxa"/>
            <w:vAlign w:val="bottom"/>
          </w:tcPr>
          <w:p w14:paraId="64CA35F3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2.798</w:t>
            </w:r>
          </w:p>
        </w:tc>
        <w:tc>
          <w:tcPr>
            <w:tcW w:w="1701" w:type="dxa"/>
            <w:vAlign w:val="bottom"/>
          </w:tcPr>
          <w:p w14:paraId="3C848D0F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0,0 %</w:t>
            </w:r>
          </w:p>
        </w:tc>
        <w:tc>
          <w:tcPr>
            <w:tcW w:w="1559" w:type="dxa"/>
            <w:vAlign w:val="bottom"/>
          </w:tcPr>
          <w:p w14:paraId="442453DD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1,9 %</w:t>
            </w:r>
          </w:p>
        </w:tc>
        <w:tc>
          <w:tcPr>
            <w:tcW w:w="1559" w:type="dxa"/>
            <w:vAlign w:val="bottom"/>
          </w:tcPr>
          <w:p w14:paraId="40B20FD7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-36,3%</w:t>
            </w:r>
          </w:p>
        </w:tc>
      </w:tr>
      <w:tr w:rsidR="004F52D0" w:rsidRPr="00544375" w14:paraId="7FA9CEB7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B6D3B4E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Baleares</w:t>
            </w:r>
          </w:p>
        </w:tc>
        <w:tc>
          <w:tcPr>
            <w:tcW w:w="1701" w:type="dxa"/>
            <w:vAlign w:val="bottom"/>
          </w:tcPr>
          <w:p w14:paraId="4888EDDC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2.561</w:t>
            </w:r>
          </w:p>
        </w:tc>
        <w:tc>
          <w:tcPr>
            <w:tcW w:w="1701" w:type="dxa"/>
            <w:vAlign w:val="bottom"/>
          </w:tcPr>
          <w:p w14:paraId="4819F88C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1,1 %</w:t>
            </w:r>
          </w:p>
        </w:tc>
        <w:tc>
          <w:tcPr>
            <w:tcW w:w="1559" w:type="dxa"/>
            <w:vAlign w:val="bottom"/>
          </w:tcPr>
          <w:p w14:paraId="2760F4B8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10,5 %</w:t>
            </w:r>
          </w:p>
        </w:tc>
        <w:tc>
          <w:tcPr>
            <w:tcW w:w="1559" w:type="dxa"/>
            <w:vAlign w:val="bottom"/>
          </w:tcPr>
          <w:p w14:paraId="4D98F2DC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-7,3%</w:t>
            </w:r>
          </w:p>
        </w:tc>
      </w:tr>
      <w:tr w:rsidR="004F52D0" w:rsidRPr="00544375" w14:paraId="26668CBD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06C38CB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Cataluña</w:t>
            </w:r>
          </w:p>
        </w:tc>
        <w:tc>
          <w:tcPr>
            <w:tcW w:w="1701" w:type="dxa"/>
            <w:vAlign w:val="bottom"/>
          </w:tcPr>
          <w:p w14:paraId="42CB9664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2.526</w:t>
            </w:r>
          </w:p>
        </w:tc>
        <w:tc>
          <w:tcPr>
            <w:tcW w:w="1701" w:type="dxa"/>
            <w:vAlign w:val="bottom"/>
          </w:tcPr>
          <w:p w14:paraId="17556195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FF0000"/>
              </w:rPr>
              <w:t>-0,7 %</w:t>
            </w:r>
          </w:p>
        </w:tc>
        <w:tc>
          <w:tcPr>
            <w:tcW w:w="1559" w:type="dxa"/>
            <w:vAlign w:val="bottom"/>
          </w:tcPr>
          <w:p w14:paraId="418D5025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8,8 %</w:t>
            </w:r>
          </w:p>
        </w:tc>
        <w:tc>
          <w:tcPr>
            <w:tcW w:w="1559" w:type="dxa"/>
            <w:vAlign w:val="bottom"/>
          </w:tcPr>
          <w:p w14:paraId="65486C10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-34,6%</w:t>
            </w:r>
          </w:p>
        </w:tc>
      </w:tr>
      <w:tr w:rsidR="004F52D0" w:rsidRPr="00544375" w14:paraId="208AEEC6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731E9DA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Cantabria</w:t>
            </w:r>
          </w:p>
        </w:tc>
        <w:tc>
          <w:tcPr>
            <w:tcW w:w="1701" w:type="dxa"/>
            <w:vAlign w:val="bottom"/>
          </w:tcPr>
          <w:p w14:paraId="60E53D10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1.712</w:t>
            </w:r>
          </w:p>
        </w:tc>
        <w:tc>
          <w:tcPr>
            <w:tcW w:w="1701" w:type="dxa"/>
            <w:vAlign w:val="bottom"/>
          </w:tcPr>
          <w:p w14:paraId="55648C17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0,3 %</w:t>
            </w:r>
          </w:p>
        </w:tc>
        <w:tc>
          <w:tcPr>
            <w:tcW w:w="1559" w:type="dxa"/>
            <w:vAlign w:val="bottom"/>
          </w:tcPr>
          <w:p w14:paraId="0D5F432C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7,4 %</w:t>
            </w:r>
          </w:p>
        </w:tc>
        <w:tc>
          <w:tcPr>
            <w:tcW w:w="1559" w:type="dxa"/>
            <w:vAlign w:val="bottom"/>
          </w:tcPr>
          <w:p w14:paraId="1AA0A948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-40,3%</w:t>
            </w:r>
          </w:p>
        </w:tc>
      </w:tr>
      <w:tr w:rsidR="004F52D0" w:rsidRPr="00544375" w14:paraId="476216BD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F6DD93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Canarias</w:t>
            </w:r>
          </w:p>
        </w:tc>
        <w:tc>
          <w:tcPr>
            <w:tcW w:w="1701" w:type="dxa"/>
            <w:vAlign w:val="bottom"/>
          </w:tcPr>
          <w:p w14:paraId="759F1A5B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1.680</w:t>
            </w:r>
          </w:p>
        </w:tc>
        <w:tc>
          <w:tcPr>
            <w:tcW w:w="1701" w:type="dxa"/>
            <w:vAlign w:val="bottom"/>
          </w:tcPr>
          <w:p w14:paraId="73C2F99C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0,1 %</w:t>
            </w:r>
          </w:p>
        </w:tc>
        <w:tc>
          <w:tcPr>
            <w:tcW w:w="1559" w:type="dxa"/>
            <w:vAlign w:val="bottom"/>
          </w:tcPr>
          <w:p w14:paraId="19EECCE3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10,9 %</w:t>
            </w:r>
          </w:p>
        </w:tc>
        <w:tc>
          <w:tcPr>
            <w:tcW w:w="1559" w:type="dxa"/>
            <w:vAlign w:val="bottom"/>
          </w:tcPr>
          <w:p w14:paraId="7936D3A3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-22,1%</w:t>
            </w:r>
          </w:p>
        </w:tc>
      </w:tr>
      <w:tr w:rsidR="004F52D0" w:rsidRPr="00544375" w14:paraId="1B2E0B22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90F3AB0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Galicia</w:t>
            </w:r>
          </w:p>
        </w:tc>
        <w:tc>
          <w:tcPr>
            <w:tcW w:w="1701" w:type="dxa"/>
            <w:vAlign w:val="bottom"/>
          </w:tcPr>
          <w:p w14:paraId="784B263C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1.627</w:t>
            </w:r>
          </w:p>
        </w:tc>
        <w:tc>
          <w:tcPr>
            <w:tcW w:w="1701" w:type="dxa"/>
            <w:vAlign w:val="bottom"/>
          </w:tcPr>
          <w:p w14:paraId="7606C3C1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0,5 %</w:t>
            </w:r>
          </w:p>
        </w:tc>
        <w:tc>
          <w:tcPr>
            <w:tcW w:w="1559" w:type="dxa"/>
            <w:vAlign w:val="bottom"/>
          </w:tcPr>
          <w:p w14:paraId="7C90BBF8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3,6 %</w:t>
            </w:r>
          </w:p>
        </w:tc>
        <w:tc>
          <w:tcPr>
            <w:tcW w:w="1559" w:type="dxa"/>
            <w:vAlign w:val="bottom"/>
          </w:tcPr>
          <w:p w14:paraId="578818D8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-31,7%</w:t>
            </w:r>
          </w:p>
        </w:tc>
      </w:tr>
      <w:tr w:rsidR="004F52D0" w:rsidRPr="00544375" w14:paraId="129F6742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06DEA12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Andalucía</w:t>
            </w:r>
          </w:p>
        </w:tc>
        <w:tc>
          <w:tcPr>
            <w:tcW w:w="1701" w:type="dxa"/>
            <w:vAlign w:val="bottom"/>
          </w:tcPr>
          <w:p w14:paraId="23B9A2C3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1.611</w:t>
            </w:r>
          </w:p>
        </w:tc>
        <w:tc>
          <w:tcPr>
            <w:tcW w:w="1701" w:type="dxa"/>
            <w:vAlign w:val="bottom"/>
          </w:tcPr>
          <w:p w14:paraId="23A5CDBC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0,3 %</w:t>
            </w:r>
          </w:p>
        </w:tc>
        <w:tc>
          <w:tcPr>
            <w:tcW w:w="1559" w:type="dxa"/>
            <w:vAlign w:val="bottom"/>
          </w:tcPr>
          <w:p w14:paraId="2AD2764C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4,7 %</w:t>
            </w:r>
          </w:p>
        </w:tc>
        <w:tc>
          <w:tcPr>
            <w:tcW w:w="1559" w:type="dxa"/>
            <w:vAlign w:val="bottom"/>
          </w:tcPr>
          <w:p w14:paraId="671102A5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-35,8%</w:t>
            </w:r>
          </w:p>
        </w:tc>
      </w:tr>
      <w:tr w:rsidR="004F52D0" w:rsidRPr="00544375" w14:paraId="2D0B554B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49175C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Navarra</w:t>
            </w:r>
          </w:p>
        </w:tc>
        <w:tc>
          <w:tcPr>
            <w:tcW w:w="1701" w:type="dxa"/>
            <w:vAlign w:val="bottom"/>
          </w:tcPr>
          <w:p w14:paraId="7711E9BA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1.609</w:t>
            </w:r>
          </w:p>
        </w:tc>
        <w:tc>
          <w:tcPr>
            <w:tcW w:w="1701" w:type="dxa"/>
            <w:vAlign w:val="bottom"/>
          </w:tcPr>
          <w:p w14:paraId="05408573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1,4 %</w:t>
            </w:r>
          </w:p>
        </w:tc>
        <w:tc>
          <w:tcPr>
            <w:tcW w:w="1559" w:type="dxa"/>
            <w:vAlign w:val="bottom"/>
          </w:tcPr>
          <w:p w14:paraId="174C5071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2,6 %</w:t>
            </w:r>
          </w:p>
        </w:tc>
        <w:tc>
          <w:tcPr>
            <w:tcW w:w="1559" w:type="dxa"/>
            <w:vAlign w:val="bottom"/>
          </w:tcPr>
          <w:p w14:paraId="65B6B359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-52,6%</w:t>
            </w:r>
          </w:p>
        </w:tc>
      </w:tr>
      <w:tr w:rsidR="004F52D0" w:rsidRPr="00544375" w14:paraId="2F30E9A3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D3F0AB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Aragón</w:t>
            </w:r>
          </w:p>
        </w:tc>
        <w:tc>
          <w:tcPr>
            <w:tcW w:w="1701" w:type="dxa"/>
            <w:vAlign w:val="bottom"/>
          </w:tcPr>
          <w:p w14:paraId="2BC4A278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1.560</w:t>
            </w:r>
          </w:p>
        </w:tc>
        <w:tc>
          <w:tcPr>
            <w:tcW w:w="1701" w:type="dxa"/>
            <w:vAlign w:val="bottom"/>
          </w:tcPr>
          <w:p w14:paraId="3199A0F9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0,4 %</w:t>
            </w:r>
          </w:p>
        </w:tc>
        <w:tc>
          <w:tcPr>
            <w:tcW w:w="1559" w:type="dxa"/>
            <w:vAlign w:val="bottom"/>
          </w:tcPr>
          <w:p w14:paraId="6DC13FF4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1,4 %</w:t>
            </w:r>
          </w:p>
        </w:tc>
        <w:tc>
          <w:tcPr>
            <w:tcW w:w="1559" w:type="dxa"/>
            <w:vAlign w:val="bottom"/>
          </w:tcPr>
          <w:p w14:paraId="29BF6921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-49,8%</w:t>
            </w:r>
          </w:p>
        </w:tc>
      </w:tr>
      <w:tr w:rsidR="004F52D0" w:rsidRPr="00544375" w14:paraId="1E5A2473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27FD31B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Asturias</w:t>
            </w:r>
          </w:p>
        </w:tc>
        <w:tc>
          <w:tcPr>
            <w:tcW w:w="1701" w:type="dxa"/>
            <w:vAlign w:val="bottom"/>
          </w:tcPr>
          <w:p w14:paraId="7CD271D2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1.544</w:t>
            </w:r>
          </w:p>
        </w:tc>
        <w:tc>
          <w:tcPr>
            <w:tcW w:w="1701" w:type="dxa"/>
            <w:vAlign w:val="bottom"/>
          </w:tcPr>
          <w:p w14:paraId="30657C47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0,2 %</w:t>
            </w:r>
          </w:p>
        </w:tc>
        <w:tc>
          <w:tcPr>
            <w:tcW w:w="1559" w:type="dxa"/>
            <w:vAlign w:val="bottom"/>
          </w:tcPr>
          <w:p w14:paraId="405D8B6E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FF0000"/>
              </w:rPr>
              <w:t>-0,9 %</w:t>
            </w:r>
          </w:p>
        </w:tc>
        <w:tc>
          <w:tcPr>
            <w:tcW w:w="1559" w:type="dxa"/>
            <w:vAlign w:val="bottom"/>
          </w:tcPr>
          <w:p w14:paraId="5FBADA6B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-47,4%</w:t>
            </w:r>
          </w:p>
        </w:tc>
      </w:tr>
      <w:tr w:rsidR="004F52D0" w:rsidRPr="00544375" w14:paraId="53778AE3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33500A2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Castilla y León</w:t>
            </w:r>
          </w:p>
        </w:tc>
        <w:tc>
          <w:tcPr>
            <w:tcW w:w="1701" w:type="dxa"/>
            <w:vAlign w:val="bottom"/>
          </w:tcPr>
          <w:p w14:paraId="23660AD0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1.478</w:t>
            </w:r>
          </w:p>
        </w:tc>
        <w:tc>
          <w:tcPr>
            <w:tcW w:w="1701" w:type="dxa"/>
            <w:vAlign w:val="bottom"/>
          </w:tcPr>
          <w:p w14:paraId="1CB99DBE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0,4 %</w:t>
            </w:r>
          </w:p>
        </w:tc>
        <w:tc>
          <w:tcPr>
            <w:tcW w:w="1559" w:type="dxa"/>
            <w:vAlign w:val="bottom"/>
          </w:tcPr>
          <w:p w14:paraId="17E533C7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2,2 %</w:t>
            </w:r>
          </w:p>
        </w:tc>
        <w:tc>
          <w:tcPr>
            <w:tcW w:w="1559" w:type="dxa"/>
            <w:vAlign w:val="bottom"/>
          </w:tcPr>
          <w:p w14:paraId="4F002425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-35,6%</w:t>
            </w:r>
          </w:p>
        </w:tc>
      </w:tr>
      <w:tr w:rsidR="004F52D0" w:rsidRPr="00544375" w14:paraId="437CC4A6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C181270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proofErr w:type="spellStart"/>
            <w:r w:rsidRPr="004F52D0">
              <w:rPr>
                <w:rFonts w:ascii="Calibri" w:hAnsi="Calibri"/>
              </w:rPr>
              <w:t>Comunitat</w:t>
            </w:r>
            <w:proofErr w:type="spellEnd"/>
            <w:r w:rsidRPr="004F52D0">
              <w:rPr>
                <w:rFonts w:ascii="Calibri" w:hAnsi="Calibri"/>
              </w:rPr>
              <w:t xml:space="preserve"> Valenciana</w:t>
            </w:r>
          </w:p>
        </w:tc>
        <w:tc>
          <w:tcPr>
            <w:tcW w:w="1701" w:type="dxa"/>
            <w:vAlign w:val="bottom"/>
          </w:tcPr>
          <w:p w14:paraId="328822B6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1.394</w:t>
            </w:r>
          </w:p>
        </w:tc>
        <w:tc>
          <w:tcPr>
            <w:tcW w:w="1701" w:type="dxa"/>
            <w:vAlign w:val="bottom"/>
          </w:tcPr>
          <w:p w14:paraId="2BA879A8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-0,4 %</w:t>
            </w:r>
          </w:p>
        </w:tc>
        <w:tc>
          <w:tcPr>
            <w:tcW w:w="1559" w:type="dxa"/>
            <w:vAlign w:val="bottom"/>
          </w:tcPr>
          <w:p w14:paraId="794FFE31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5,3 %</w:t>
            </w:r>
          </w:p>
        </w:tc>
        <w:tc>
          <w:tcPr>
            <w:tcW w:w="1559" w:type="dxa"/>
            <w:vAlign w:val="bottom"/>
          </w:tcPr>
          <w:p w14:paraId="0CD787AE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-42,6%</w:t>
            </w:r>
          </w:p>
        </w:tc>
      </w:tr>
      <w:tr w:rsidR="004F52D0" w:rsidRPr="00544375" w14:paraId="35B7F319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490F51D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La Rioja</w:t>
            </w:r>
          </w:p>
        </w:tc>
        <w:tc>
          <w:tcPr>
            <w:tcW w:w="1701" w:type="dxa"/>
            <w:vAlign w:val="bottom"/>
          </w:tcPr>
          <w:p w14:paraId="68182715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1.388</w:t>
            </w:r>
          </w:p>
        </w:tc>
        <w:tc>
          <w:tcPr>
            <w:tcW w:w="1701" w:type="dxa"/>
            <w:vAlign w:val="bottom"/>
          </w:tcPr>
          <w:p w14:paraId="01A050C3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-0,2 %</w:t>
            </w:r>
          </w:p>
        </w:tc>
        <w:tc>
          <w:tcPr>
            <w:tcW w:w="1559" w:type="dxa"/>
            <w:vAlign w:val="bottom"/>
          </w:tcPr>
          <w:p w14:paraId="7E46ED2D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5,5 %</w:t>
            </w:r>
          </w:p>
        </w:tc>
        <w:tc>
          <w:tcPr>
            <w:tcW w:w="1559" w:type="dxa"/>
            <w:vAlign w:val="bottom"/>
          </w:tcPr>
          <w:p w14:paraId="0205DB3A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-53,3%</w:t>
            </w:r>
          </w:p>
        </w:tc>
      </w:tr>
      <w:tr w:rsidR="004F52D0" w:rsidRPr="00544375" w14:paraId="0F65F6C2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CF5D44F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Región de Murcia</w:t>
            </w:r>
          </w:p>
        </w:tc>
        <w:tc>
          <w:tcPr>
            <w:tcW w:w="1701" w:type="dxa"/>
            <w:vAlign w:val="bottom"/>
          </w:tcPr>
          <w:p w14:paraId="2DDEBD75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1.140</w:t>
            </w:r>
          </w:p>
        </w:tc>
        <w:tc>
          <w:tcPr>
            <w:tcW w:w="1701" w:type="dxa"/>
            <w:vAlign w:val="bottom"/>
          </w:tcPr>
          <w:p w14:paraId="5516F490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0,3 %</w:t>
            </w:r>
          </w:p>
        </w:tc>
        <w:tc>
          <w:tcPr>
            <w:tcW w:w="1559" w:type="dxa"/>
            <w:vAlign w:val="bottom"/>
          </w:tcPr>
          <w:p w14:paraId="6CB127F4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FF0000"/>
              </w:rPr>
              <w:t>-1,9 %</w:t>
            </w:r>
          </w:p>
        </w:tc>
        <w:tc>
          <w:tcPr>
            <w:tcW w:w="1559" w:type="dxa"/>
            <w:vAlign w:val="bottom"/>
          </w:tcPr>
          <w:p w14:paraId="6356AE34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-50,4%</w:t>
            </w:r>
          </w:p>
        </w:tc>
      </w:tr>
      <w:tr w:rsidR="004F52D0" w:rsidRPr="00544375" w14:paraId="65F50E46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5B8193D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Castilla-La Mancha</w:t>
            </w:r>
          </w:p>
        </w:tc>
        <w:tc>
          <w:tcPr>
            <w:tcW w:w="1701" w:type="dxa"/>
            <w:vAlign w:val="bottom"/>
          </w:tcPr>
          <w:p w14:paraId="12AD0BCF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1.115</w:t>
            </w:r>
          </w:p>
        </w:tc>
        <w:tc>
          <w:tcPr>
            <w:tcW w:w="1701" w:type="dxa"/>
            <w:vAlign w:val="bottom"/>
          </w:tcPr>
          <w:p w14:paraId="13AAC517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FF0000"/>
              </w:rPr>
              <w:t>-0,3 %</w:t>
            </w:r>
          </w:p>
        </w:tc>
        <w:tc>
          <w:tcPr>
            <w:tcW w:w="1559" w:type="dxa"/>
            <w:vAlign w:val="bottom"/>
          </w:tcPr>
          <w:p w14:paraId="1957C25F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2,6 %</w:t>
            </w:r>
          </w:p>
        </w:tc>
        <w:tc>
          <w:tcPr>
            <w:tcW w:w="1559" w:type="dxa"/>
            <w:vAlign w:val="bottom"/>
          </w:tcPr>
          <w:p w14:paraId="56C88722" w14:textId="77777777" w:rsidR="004F52D0" w:rsidRPr="004F52D0" w:rsidRDefault="004F52D0" w:rsidP="004F5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-49,6%</w:t>
            </w:r>
          </w:p>
        </w:tc>
      </w:tr>
      <w:tr w:rsidR="004F52D0" w:rsidRPr="00544375" w14:paraId="6367B53F" w14:textId="77777777" w:rsidTr="0091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53174FE" w14:textId="77777777" w:rsidR="004F52D0" w:rsidRPr="004F52D0" w:rsidRDefault="004F52D0" w:rsidP="004F52D0">
            <w:pPr>
              <w:jc w:val="right"/>
              <w:rPr>
                <w:rFonts w:ascii="Calibri" w:hAnsi="Calibri"/>
              </w:rPr>
            </w:pPr>
            <w:r w:rsidRPr="004F52D0">
              <w:rPr>
                <w:rFonts w:ascii="Calibri" w:hAnsi="Calibri"/>
              </w:rPr>
              <w:t>Extremadura</w:t>
            </w:r>
          </w:p>
        </w:tc>
        <w:tc>
          <w:tcPr>
            <w:tcW w:w="1701" w:type="dxa"/>
            <w:vAlign w:val="bottom"/>
          </w:tcPr>
          <w:p w14:paraId="5561D46B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000000"/>
              </w:rPr>
              <w:t>1.109</w:t>
            </w:r>
          </w:p>
        </w:tc>
        <w:tc>
          <w:tcPr>
            <w:tcW w:w="1701" w:type="dxa"/>
            <w:vAlign w:val="bottom"/>
          </w:tcPr>
          <w:p w14:paraId="251EE3CA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-0,2 %</w:t>
            </w:r>
          </w:p>
        </w:tc>
        <w:tc>
          <w:tcPr>
            <w:tcW w:w="1559" w:type="dxa"/>
            <w:vAlign w:val="bottom"/>
          </w:tcPr>
          <w:p w14:paraId="2D158AD6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F52D0">
              <w:rPr>
                <w:color w:val="000000"/>
              </w:rPr>
              <w:t>1,5 %</w:t>
            </w:r>
          </w:p>
        </w:tc>
        <w:tc>
          <w:tcPr>
            <w:tcW w:w="1559" w:type="dxa"/>
            <w:vAlign w:val="bottom"/>
          </w:tcPr>
          <w:p w14:paraId="2E7BEE0A" w14:textId="77777777" w:rsidR="004F52D0" w:rsidRPr="004F52D0" w:rsidRDefault="004F52D0" w:rsidP="004F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F52D0">
              <w:rPr>
                <w:color w:val="FF0000"/>
              </w:rPr>
              <w:t>-41,1%</w:t>
            </w:r>
          </w:p>
        </w:tc>
      </w:tr>
      <w:tr w:rsidR="00FF53CF" w14:paraId="2906E501" w14:textId="77777777" w:rsidTr="00914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CA113E5" w14:textId="77777777" w:rsidR="00FF53CF" w:rsidRPr="00051E18" w:rsidRDefault="00FF53CF" w:rsidP="001C420A">
            <w:pPr>
              <w:jc w:val="right"/>
              <w:rPr>
                <w:rFonts w:ascii="Calibri" w:hAnsi="Calibri"/>
              </w:rPr>
            </w:pPr>
            <w:r w:rsidRPr="00051E18">
              <w:rPr>
                <w:rFonts w:ascii="Calibri" w:hAnsi="Calibri"/>
              </w:rPr>
              <w:t>España</w:t>
            </w:r>
          </w:p>
        </w:tc>
        <w:tc>
          <w:tcPr>
            <w:tcW w:w="1701" w:type="dxa"/>
            <w:vAlign w:val="bottom"/>
          </w:tcPr>
          <w:p w14:paraId="6A850225" w14:textId="77777777" w:rsidR="00FF53CF" w:rsidRPr="00661226" w:rsidRDefault="00FF53CF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1226">
              <w:rPr>
                <w:color w:val="000000"/>
              </w:rPr>
              <w:t>1.8</w:t>
            </w:r>
            <w:r w:rsidR="004F52D0">
              <w:rPr>
                <w:color w:val="000000"/>
              </w:rPr>
              <w:t>76</w:t>
            </w:r>
          </w:p>
        </w:tc>
        <w:tc>
          <w:tcPr>
            <w:tcW w:w="1701" w:type="dxa"/>
            <w:vAlign w:val="bottom"/>
          </w:tcPr>
          <w:p w14:paraId="0BB02A00" w14:textId="77777777" w:rsidR="00FF53CF" w:rsidRPr="00661226" w:rsidRDefault="00FF53CF" w:rsidP="008E3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1226">
              <w:rPr>
                <w:color w:val="000000"/>
              </w:rPr>
              <w:t>0,</w:t>
            </w:r>
            <w:r w:rsidR="004F52D0">
              <w:rPr>
                <w:color w:val="000000"/>
              </w:rPr>
              <w:t>4</w:t>
            </w:r>
            <w:r w:rsidRPr="00661226">
              <w:rPr>
                <w:color w:val="000000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14:paraId="0047EC57" w14:textId="77777777" w:rsidR="00FF53CF" w:rsidRPr="00661226" w:rsidRDefault="00FF53CF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1226">
              <w:rPr>
                <w:color w:val="000000"/>
              </w:rPr>
              <w:t>7</w:t>
            </w:r>
            <w:r w:rsidR="008E3EB4">
              <w:rPr>
                <w:color w:val="000000"/>
              </w:rPr>
              <w:t>,</w:t>
            </w:r>
            <w:r w:rsidR="004F52D0">
              <w:rPr>
                <w:color w:val="000000"/>
              </w:rPr>
              <w:t>7</w:t>
            </w:r>
            <w:r w:rsidR="00661226">
              <w:rPr>
                <w:color w:val="000000"/>
              </w:rPr>
              <w:t xml:space="preserve"> </w:t>
            </w:r>
            <w:r w:rsidRPr="00661226">
              <w:rPr>
                <w:color w:val="000000"/>
              </w:rPr>
              <w:t>%</w:t>
            </w:r>
          </w:p>
        </w:tc>
        <w:tc>
          <w:tcPr>
            <w:tcW w:w="1559" w:type="dxa"/>
            <w:vAlign w:val="bottom"/>
          </w:tcPr>
          <w:p w14:paraId="62426AC5" w14:textId="77777777" w:rsidR="00FF53CF" w:rsidRPr="0084750E" w:rsidRDefault="008E3EB4" w:rsidP="00661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-3</w:t>
            </w:r>
            <w:r w:rsidR="004F52D0">
              <w:rPr>
                <w:color w:val="FF0000"/>
              </w:rPr>
              <w:t>6,5</w:t>
            </w:r>
            <w:r w:rsidR="00661226">
              <w:rPr>
                <w:color w:val="FF0000"/>
              </w:rPr>
              <w:t>%</w:t>
            </w:r>
          </w:p>
        </w:tc>
      </w:tr>
    </w:tbl>
    <w:p w14:paraId="088C2CA3" w14:textId="77777777" w:rsidR="002D7A32" w:rsidRDefault="002D7A32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04991175" w14:textId="77777777" w:rsidR="00FF53CF" w:rsidRPr="00FF53CF" w:rsidRDefault="008E4D21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27</w:t>
      </w:r>
      <w:r w:rsidR="00FF53CF" w:rsidRPr="00FF53C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provincias incrementan el precio mensual</w:t>
      </w:r>
    </w:p>
    <w:p w14:paraId="7F3F575E" w14:textId="77777777"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 xml:space="preserve">En cuanto a la evolución del precio de </w:t>
      </w:r>
      <w:r w:rsidR="00416100">
        <w:rPr>
          <w:rFonts w:ascii="Open Sans" w:hAnsi="Open Sans" w:cs="Open Sans"/>
          <w:color w:val="000000"/>
        </w:rPr>
        <w:t xml:space="preserve">la vivienda por provincias, en </w:t>
      </w:r>
      <w:r w:rsidR="00A70E42">
        <w:rPr>
          <w:rFonts w:ascii="Open Sans" w:hAnsi="Open Sans" w:cs="Open Sans"/>
          <w:color w:val="000000"/>
        </w:rPr>
        <w:t>27</w:t>
      </w:r>
      <w:r w:rsidRPr="00FF53CF">
        <w:rPr>
          <w:rFonts w:ascii="Open Sans" w:hAnsi="Open Sans" w:cs="Open Sans"/>
          <w:color w:val="000000"/>
        </w:rPr>
        <w:t xml:space="preserve"> de ellas se registran subidas de precios en términos mensuales, con incrementos que van del </w:t>
      </w:r>
      <w:r w:rsidR="00A70E42">
        <w:rPr>
          <w:rFonts w:ascii="Open Sans" w:hAnsi="Open Sans" w:cs="Open Sans"/>
          <w:color w:val="000000"/>
        </w:rPr>
        <w:t>1,7</w:t>
      </w:r>
      <w:r w:rsidRPr="00FF53CF">
        <w:rPr>
          <w:rFonts w:ascii="Open Sans" w:hAnsi="Open Sans" w:cs="Open Sans"/>
          <w:color w:val="000000"/>
        </w:rPr>
        <w:t xml:space="preserve">% de </w:t>
      </w:r>
      <w:r w:rsidR="00A70E42">
        <w:rPr>
          <w:rFonts w:ascii="Open Sans" w:hAnsi="Open Sans" w:cs="Open Sans"/>
          <w:color w:val="000000"/>
        </w:rPr>
        <w:t xml:space="preserve">Lugo </w:t>
      </w:r>
      <w:r w:rsidR="00416100">
        <w:rPr>
          <w:rFonts w:ascii="Open Sans" w:hAnsi="Open Sans" w:cs="Open Sans"/>
          <w:color w:val="000000"/>
        </w:rPr>
        <w:t xml:space="preserve">al 0,1% de </w:t>
      </w:r>
      <w:r w:rsidR="00A70E42">
        <w:rPr>
          <w:rFonts w:ascii="Open Sans" w:hAnsi="Open Sans" w:cs="Open Sans"/>
          <w:color w:val="000000"/>
        </w:rPr>
        <w:t xml:space="preserve">Vizcaya, Palencia, Granada y Álava. </w:t>
      </w:r>
      <w:r w:rsidRPr="00FF53CF">
        <w:rPr>
          <w:rFonts w:ascii="Open Sans" w:hAnsi="Open Sans" w:cs="Open Sans"/>
          <w:color w:val="000000"/>
        </w:rPr>
        <w:t xml:space="preserve">Por el contrario, </w:t>
      </w:r>
      <w:r w:rsidR="00C456C3">
        <w:rPr>
          <w:rFonts w:ascii="Open Sans" w:hAnsi="Open Sans" w:cs="Open Sans"/>
          <w:color w:val="000000"/>
        </w:rPr>
        <w:t>1</w:t>
      </w:r>
      <w:r w:rsidR="00A70E42">
        <w:rPr>
          <w:rFonts w:ascii="Open Sans" w:hAnsi="Open Sans" w:cs="Open Sans"/>
          <w:color w:val="000000"/>
        </w:rPr>
        <w:t>7</w:t>
      </w:r>
      <w:r w:rsidRPr="00FF53CF">
        <w:rPr>
          <w:rFonts w:ascii="Open Sans" w:hAnsi="Open Sans" w:cs="Open Sans"/>
          <w:color w:val="000000"/>
        </w:rPr>
        <w:t xml:space="preserve"> provincias descienden el precio de la vivienda de segunda mano en </w:t>
      </w:r>
      <w:r w:rsidR="00A70E42">
        <w:rPr>
          <w:rFonts w:ascii="Open Sans" w:hAnsi="Open Sans" w:cs="Open Sans"/>
          <w:color w:val="000000"/>
        </w:rPr>
        <w:t>enero</w:t>
      </w:r>
      <w:r w:rsidRPr="00FF53CF">
        <w:rPr>
          <w:rFonts w:ascii="Open Sans" w:hAnsi="Open Sans" w:cs="Open Sans"/>
          <w:color w:val="000000"/>
        </w:rPr>
        <w:t>. Los descensos van del -0,</w:t>
      </w:r>
      <w:r w:rsidR="00A70E42">
        <w:rPr>
          <w:rFonts w:ascii="Open Sans" w:hAnsi="Open Sans" w:cs="Open Sans"/>
          <w:color w:val="000000"/>
        </w:rPr>
        <w:t>2</w:t>
      </w:r>
      <w:r w:rsidRPr="00FF53CF">
        <w:rPr>
          <w:rFonts w:ascii="Open Sans" w:hAnsi="Open Sans" w:cs="Open Sans"/>
          <w:color w:val="000000"/>
        </w:rPr>
        <w:t xml:space="preserve">% de </w:t>
      </w:r>
      <w:r w:rsidR="00A70E42">
        <w:rPr>
          <w:rFonts w:ascii="Open Sans" w:hAnsi="Open Sans" w:cs="Open Sans"/>
          <w:color w:val="000000"/>
        </w:rPr>
        <w:t>La Rioja y Barcelona</w:t>
      </w:r>
      <w:r w:rsidR="000C5473">
        <w:rPr>
          <w:rFonts w:ascii="Open Sans" w:hAnsi="Open Sans" w:cs="Open Sans"/>
          <w:color w:val="000000"/>
        </w:rPr>
        <w:t xml:space="preserve"> </w:t>
      </w:r>
      <w:r w:rsidRPr="00FF53CF">
        <w:rPr>
          <w:rFonts w:ascii="Open Sans" w:hAnsi="Open Sans" w:cs="Open Sans"/>
          <w:color w:val="000000"/>
        </w:rPr>
        <w:t>al -</w:t>
      </w:r>
      <w:r w:rsidR="00C456C3">
        <w:rPr>
          <w:rFonts w:ascii="Open Sans" w:hAnsi="Open Sans" w:cs="Open Sans"/>
          <w:color w:val="000000"/>
        </w:rPr>
        <w:t>1,</w:t>
      </w:r>
      <w:r w:rsidR="00A70E42">
        <w:rPr>
          <w:rFonts w:ascii="Open Sans" w:hAnsi="Open Sans" w:cs="Open Sans"/>
          <w:color w:val="000000"/>
        </w:rPr>
        <w:t>2</w:t>
      </w:r>
      <w:r w:rsidRPr="00FF53CF">
        <w:rPr>
          <w:rFonts w:ascii="Open Sans" w:hAnsi="Open Sans" w:cs="Open Sans"/>
          <w:color w:val="000000"/>
        </w:rPr>
        <w:t xml:space="preserve">% de </w:t>
      </w:r>
      <w:r w:rsidR="00A70E42">
        <w:rPr>
          <w:rFonts w:ascii="Open Sans" w:hAnsi="Open Sans" w:cs="Open Sans"/>
          <w:color w:val="000000"/>
        </w:rPr>
        <w:t>Teruel y Ávila</w:t>
      </w:r>
      <w:r w:rsidRPr="00FF53CF">
        <w:rPr>
          <w:rFonts w:ascii="Open Sans" w:hAnsi="Open Sans" w:cs="Open Sans"/>
          <w:color w:val="000000"/>
        </w:rPr>
        <w:t xml:space="preserve">. </w:t>
      </w:r>
    </w:p>
    <w:p w14:paraId="3C07B53F" w14:textId="77777777" w:rsidR="00FF53CF" w:rsidRPr="00FF53CF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Del total de los 8</w:t>
      </w:r>
      <w:r w:rsidR="00AF4D43">
        <w:rPr>
          <w:rFonts w:ascii="Open Sans" w:hAnsi="Open Sans" w:cs="Open Sans"/>
          <w:color w:val="000000"/>
        </w:rPr>
        <w:t>4</w:t>
      </w:r>
      <w:r w:rsidR="00F114F6">
        <w:rPr>
          <w:rFonts w:ascii="Open Sans" w:hAnsi="Open Sans" w:cs="Open Sans"/>
          <w:color w:val="000000"/>
        </w:rPr>
        <w:t>7</w:t>
      </w:r>
      <w:r w:rsidRPr="00FF53CF">
        <w:rPr>
          <w:rFonts w:ascii="Open Sans" w:hAnsi="Open Sans" w:cs="Open Sans"/>
          <w:color w:val="000000"/>
        </w:rPr>
        <w:t xml:space="preserve"> municipios de España analizados por </w:t>
      </w:r>
      <w:hyperlink r:id="rId13" w:history="1">
        <w:r w:rsidR="000C5473"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FF53CF">
        <w:rPr>
          <w:rFonts w:ascii="Open Sans" w:hAnsi="Open Sans" w:cs="Open Sans"/>
          <w:color w:val="000000"/>
        </w:rPr>
        <w:t xml:space="preserve">, en </w:t>
      </w:r>
      <w:r w:rsidR="00F114F6">
        <w:rPr>
          <w:rFonts w:ascii="Open Sans" w:hAnsi="Open Sans" w:cs="Open Sans"/>
          <w:color w:val="000000"/>
        </w:rPr>
        <w:t>456</w:t>
      </w:r>
      <w:r w:rsidRPr="00FF53CF">
        <w:rPr>
          <w:rFonts w:ascii="Open Sans" w:hAnsi="Open Sans" w:cs="Open Sans"/>
          <w:color w:val="000000"/>
        </w:rPr>
        <w:t xml:space="preserve"> municipios el precio de la vivienda sube en el mes de </w:t>
      </w:r>
      <w:r w:rsidR="00F114F6">
        <w:rPr>
          <w:rFonts w:ascii="Open Sans" w:hAnsi="Open Sans" w:cs="Open Sans"/>
          <w:color w:val="000000"/>
        </w:rPr>
        <w:t>enero</w:t>
      </w:r>
      <w:r w:rsidRPr="00FF53CF">
        <w:rPr>
          <w:rFonts w:ascii="Open Sans" w:hAnsi="Open Sans" w:cs="Open Sans"/>
          <w:color w:val="000000"/>
        </w:rPr>
        <w:t xml:space="preserve">, en </w:t>
      </w:r>
      <w:r w:rsidR="00F114F6">
        <w:rPr>
          <w:rFonts w:ascii="Open Sans" w:hAnsi="Open Sans" w:cs="Open Sans"/>
          <w:color w:val="000000"/>
        </w:rPr>
        <w:t>46</w:t>
      </w:r>
      <w:r w:rsidR="000C5473">
        <w:rPr>
          <w:rFonts w:ascii="Open Sans" w:hAnsi="Open Sans" w:cs="Open Sans"/>
          <w:color w:val="000000"/>
        </w:rPr>
        <w:t xml:space="preserve"> </w:t>
      </w:r>
      <w:r w:rsidRPr="00FF53CF">
        <w:rPr>
          <w:rFonts w:ascii="Open Sans" w:hAnsi="Open Sans" w:cs="Open Sans"/>
          <w:color w:val="000000"/>
        </w:rPr>
        <w:t xml:space="preserve">municipios los precios permanecen estables y en </w:t>
      </w:r>
      <w:r w:rsidR="00F114F6">
        <w:rPr>
          <w:rFonts w:ascii="Open Sans" w:hAnsi="Open Sans" w:cs="Open Sans"/>
          <w:color w:val="000000"/>
        </w:rPr>
        <w:t>344</w:t>
      </w:r>
      <w:r w:rsidRPr="00FF53CF">
        <w:rPr>
          <w:rFonts w:ascii="Open Sans" w:hAnsi="Open Sans" w:cs="Open Sans"/>
          <w:color w:val="000000"/>
        </w:rPr>
        <w:t xml:space="preserve"> se registran descensos en el precio. </w:t>
      </w:r>
    </w:p>
    <w:p w14:paraId="0EC114B8" w14:textId="77777777" w:rsidR="00831318" w:rsidRDefault="00FF53CF" w:rsidP="00FF53C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F53CF">
        <w:rPr>
          <w:rFonts w:ascii="Open Sans" w:hAnsi="Open Sans" w:cs="Open Sans"/>
          <w:color w:val="000000"/>
        </w:rPr>
        <w:t>El municipio con el precio de la vivienda de segunda mano más elevado es Ibiza (</w:t>
      </w:r>
      <w:r w:rsidR="00AF4D43">
        <w:rPr>
          <w:rFonts w:ascii="Open Sans" w:hAnsi="Open Sans" w:cs="Open Sans"/>
          <w:color w:val="000000"/>
        </w:rPr>
        <w:t>4.9</w:t>
      </w:r>
      <w:r w:rsidR="00F114F6">
        <w:rPr>
          <w:rFonts w:ascii="Open Sans" w:hAnsi="Open Sans" w:cs="Open Sans"/>
          <w:color w:val="000000"/>
        </w:rPr>
        <w:t>51</w:t>
      </w:r>
      <w:r w:rsidR="000C5473">
        <w:rPr>
          <w:rFonts w:ascii="Open Sans" w:hAnsi="Open Sans" w:cs="Open Sans"/>
          <w:color w:val="000000"/>
        </w:rPr>
        <w:t xml:space="preserve"> €/m2). Por su parte, </w:t>
      </w:r>
      <w:proofErr w:type="spellStart"/>
      <w:r w:rsidR="00F114F6">
        <w:rPr>
          <w:rFonts w:ascii="Open Sans" w:hAnsi="Open Sans" w:cs="Open Sans"/>
          <w:color w:val="000000"/>
        </w:rPr>
        <w:t>Benicull</w:t>
      </w:r>
      <w:proofErr w:type="spellEnd"/>
      <w:r w:rsidR="00F114F6">
        <w:rPr>
          <w:rFonts w:ascii="Open Sans" w:hAnsi="Open Sans" w:cs="Open Sans"/>
          <w:color w:val="000000"/>
        </w:rPr>
        <w:t xml:space="preserve"> de Xúquer</w:t>
      </w:r>
      <w:r w:rsidRPr="00FF53CF">
        <w:rPr>
          <w:rFonts w:ascii="Open Sans" w:hAnsi="Open Sans" w:cs="Open Sans"/>
          <w:color w:val="000000"/>
        </w:rPr>
        <w:t xml:space="preserve">, en </w:t>
      </w:r>
      <w:r w:rsidR="00F114F6">
        <w:rPr>
          <w:rFonts w:ascii="Open Sans" w:hAnsi="Open Sans" w:cs="Open Sans"/>
          <w:color w:val="000000"/>
        </w:rPr>
        <w:t>Valencia</w:t>
      </w:r>
      <w:r w:rsidR="000C5473">
        <w:rPr>
          <w:rFonts w:ascii="Open Sans" w:hAnsi="Open Sans" w:cs="Open Sans"/>
          <w:color w:val="000000"/>
        </w:rPr>
        <w:t>,</w:t>
      </w:r>
      <w:r w:rsidRPr="00FF53CF">
        <w:rPr>
          <w:rFonts w:ascii="Open Sans" w:hAnsi="Open Sans" w:cs="Open Sans"/>
          <w:color w:val="000000"/>
        </w:rPr>
        <w:t xml:space="preserve"> es la población española más barata, con un precio medio de </w:t>
      </w:r>
      <w:r w:rsidR="00AF4D43">
        <w:rPr>
          <w:rFonts w:ascii="Open Sans" w:hAnsi="Open Sans" w:cs="Open Sans"/>
          <w:color w:val="000000"/>
        </w:rPr>
        <w:t>5</w:t>
      </w:r>
      <w:r w:rsidR="00757DAE">
        <w:rPr>
          <w:rFonts w:ascii="Open Sans" w:hAnsi="Open Sans" w:cs="Open Sans"/>
          <w:color w:val="000000"/>
        </w:rPr>
        <w:t>54</w:t>
      </w:r>
      <w:r w:rsidR="00AF4D43">
        <w:rPr>
          <w:rFonts w:ascii="Open Sans" w:hAnsi="Open Sans" w:cs="Open Sans"/>
          <w:color w:val="000000"/>
        </w:rPr>
        <w:t xml:space="preserve"> </w:t>
      </w:r>
      <w:r w:rsidRPr="00FF53CF">
        <w:rPr>
          <w:rFonts w:ascii="Open Sans" w:hAnsi="Open Sans" w:cs="Open Sans"/>
          <w:color w:val="000000"/>
        </w:rPr>
        <w:t>€/m2.</w:t>
      </w:r>
    </w:p>
    <w:p w14:paraId="2044A0BA" w14:textId="77777777" w:rsidR="00914F28" w:rsidRDefault="00914F28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</w:p>
    <w:p w14:paraId="03D6B6CC" w14:textId="77777777" w:rsidR="00FF53CF" w:rsidRPr="00831318" w:rsidRDefault="00FF53CF" w:rsidP="00FF53C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  <w:r w:rsidRPr="0083131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>Incrementa el precio en 1</w:t>
      </w:r>
      <w:r w:rsidR="00831318" w:rsidRPr="0083131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>6</w:t>
      </w:r>
      <w:r w:rsidRPr="0083131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 xml:space="preserve"> distritos de Madrid y en </w:t>
      </w:r>
      <w:r w:rsidR="00831318" w:rsidRPr="0083131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>cinco</w:t>
      </w:r>
      <w:r w:rsidRPr="0083131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 xml:space="preserve"> de Barcelona</w:t>
      </w:r>
    </w:p>
    <w:p w14:paraId="5F2F5E90" w14:textId="77777777" w:rsidR="00831318" w:rsidRDefault="0083131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De los 2</w:t>
      </w:r>
      <w:r>
        <w:rPr>
          <w:rFonts w:ascii="Open Sans" w:hAnsi="Open Sans" w:cs="Open Sans"/>
          <w:color w:val="000000"/>
        </w:rPr>
        <w:t>1</w:t>
      </w:r>
      <w:r w:rsidRPr="00EE12AE">
        <w:rPr>
          <w:rFonts w:ascii="Open Sans" w:hAnsi="Open Sans" w:cs="Open Sans"/>
          <w:color w:val="000000"/>
        </w:rPr>
        <w:t xml:space="preserve"> distritos analizados por </w:t>
      </w:r>
      <w:hyperlink r:id="rId14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Style w:val="Hipervnculo"/>
          <w:rFonts w:ascii="Open Sans" w:hAnsi="Open Sans" w:cs="Open Sans"/>
          <w:b/>
          <w:bCs/>
        </w:rPr>
        <w:t>,</w:t>
      </w:r>
      <w:r>
        <w:rPr>
          <w:rFonts w:ascii="Open Sans" w:hAnsi="Open Sans" w:cs="Open Sans"/>
          <w:color w:val="000000"/>
        </w:rPr>
        <w:t xml:space="preserve"> 16 </w:t>
      </w:r>
      <w:r w:rsidRPr="00EE12AE">
        <w:rPr>
          <w:rFonts w:ascii="Open Sans" w:hAnsi="Open Sans" w:cs="Open Sans"/>
          <w:color w:val="000000"/>
        </w:rPr>
        <w:t xml:space="preserve">de ellos registran aumentos </w:t>
      </w:r>
      <w:r>
        <w:rPr>
          <w:rFonts w:ascii="Open Sans" w:hAnsi="Open Sans" w:cs="Open Sans"/>
          <w:color w:val="000000"/>
        </w:rPr>
        <w:t xml:space="preserve">en el </w:t>
      </w:r>
      <w:r w:rsidRPr="00EE12AE">
        <w:rPr>
          <w:rFonts w:ascii="Open Sans" w:hAnsi="Open Sans" w:cs="Open Sans"/>
          <w:color w:val="000000"/>
        </w:rPr>
        <w:t xml:space="preserve">precio </w:t>
      </w:r>
      <w:r>
        <w:rPr>
          <w:rFonts w:ascii="Open Sans" w:hAnsi="Open Sans" w:cs="Open Sans"/>
          <w:color w:val="000000"/>
        </w:rPr>
        <w:t>del</w:t>
      </w:r>
      <w:r w:rsidRPr="00EE12AE">
        <w:rPr>
          <w:rFonts w:ascii="Open Sans" w:hAnsi="Open Sans" w:cs="Open Sans"/>
          <w:color w:val="000000"/>
        </w:rPr>
        <w:t xml:space="preserve"> mes de </w:t>
      </w:r>
      <w:r>
        <w:rPr>
          <w:rFonts w:ascii="Open Sans" w:hAnsi="Open Sans" w:cs="Open Sans"/>
          <w:color w:val="000000"/>
        </w:rPr>
        <w:t>enero</w:t>
      </w:r>
      <w:r w:rsidRPr="00EE12AE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Las subidas mensuales oscilan entre el 2,4% de Hortaleza y el 0,3% de Usera. </w:t>
      </w:r>
      <w:r w:rsidRPr="00EE12AE">
        <w:rPr>
          <w:rFonts w:ascii="Open Sans" w:hAnsi="Open Sans" w:cs="Open Sans"/>
          <w:color w:val="000000"/>
        </w:rPr>
        <w:t>Por el contrario</w:t>
      </w:r>
      <w:r>
        <w:rPr>
          <w:rFonts w:ascii="Open Sans" w:hAnsi="Open Sans" w:cs="Open Sans"/>
          <w:color w:val="000000"/>
        </w:rPr>
        <w:t xml:space="preserve">, aunque las caídas de enero no son tan acusadas en los distritos, </w:t>
      </w:r>
      <w:r w:rsidRPr="0077165A">
        <w:rPr>
          <w:rFonts w:ascii="Open Sans" w:hAnsi="Open Sans" w:cs="Open Sans"/>
          <w:color w:val="000000"/>
        </w:rPr>
        <w:t>Moratalaz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que registra </w:t>
      </w:r>
      <w:r>
        <w:rPr>
          <w:rFonts w:ascii="Open Sans" w:hAnsi="Open Sans" w:cs="Open Sans"/>
          <w:color w:val="000000"/>
        </w:rPr>
        <w:t>el</w:t>
      </w:r>
      <w:r w:rsidRPr="00EE12AE">
        <w:rPr>
          <w:rFonts w:ascii="Open Sans" w:hAnsi="Open Sans" w:cs="Open Sans"/>
          <w:color w:val="000000"/>
        </w:rPr>
        <w:t xml:space="preserve"> mayor descenso</w:t>
      </w:r>
      <w:r>
        <w:rPr>
          <w:rFonts w:ascii="Open Sans" w:hAnsi="Open Sans" w:cs="Open Sans"/>
          <w:color w:val="000000"/>
        </w:rPr>
        <w:t xml:space="preserve">, </w:t>
      </w:r>
      <w:r w:rsidRPr="00EE12AE">
        <w:rPr>
          <w:rFonts w:ascii="Open Sans" w:hAnsi="Open Sans" w:cs="Open Sans"/>
          <w:color w:val="000000"/>
        </w:rPr>
        <w:t>en concreto lo hace con un</w:t>
      </w:r>
      <w:r>
        <w:rPr>
          <w:rFonts w:ascii="Open Sans" w:hAnsi="Open Sans" w:cs="Open Sans"/>
          <w:color w:val="000000"/>
        </w:rPr>
        <w:t>a caída del</w:t>
      </w:r>
      <w:r w:rsidRPr="00EE12AE">
        <w:rPr>
          <w:rFonts w:ascii="Open Sans" w:hAnsi="Open Sans" w:cs="Open Sans"/>
          <w:color w:val="000000"/>
        </w:rPr>
        <w:t xml:space="preserve"> -</w:t>
      </w:r>
      <w:r>
        <w:rPr>
          <w:rFonts w:ascii="Open Sans" w:hAnsi="Open Sans" w:cs="Open Sans"/>
          <w:color w:val="000000"/>
        </w:rPr>
        <w:t>0,4</w:t>
      </w:r>
      <w:r w:rsidRPr="00EE12AE">
        <w:rPr>
          <w:rFonts w:ascii="Open Sans" w:hAnsi="Open Sans" w:cs="Open Sans"/>
          <w:color w:val="000000"/>
        </w:rPr>
        <w:t xml:space="preserve">%. </w:t>
      </w:r>
    </w:p>
    <w:p w14:paraId="374BABD4" w14:textId="77777777" w:rsidR="00831318" w:rsidRDefault="0083131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En cuanto a los distritos con mayor y menor precio, Salamanca es el distrito más caro de la capital para comprar una vivienda con un precio de 6.</w:t>
      </w:r>
      <w:r>
        <w:rPr>
          <w:rFonts w:ascii="Open Sans" w:hAnsi="Open Sans" w:cs="Open Sans"/>
          <w:color w:val="000000"/>
        </w:rPr>
        <w:t>155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 w:rsidRPr="00EE12AE">
        <w:rPr>
          <w:rFonts w:ascii="Open Sans" w:hAnsi="Open Sans" w:cs="Open Sans"/>
          <w:color w:val="000000"/>
        </w:rPr>
        <w:t>. Le siguen Chamberí</w:t>
      </w:r>
      <w:r>
        <w:rPr>
          <w:rFonts w:ascii="Open Sans" w:hAnsi="Open Sans" w:cs="Open Sans"/>
          <w:color w:val="000000"/>
        </w:rPr>
        <w:t xml:space="preserve">, con </w:t>
      </w:r>
      <w:r w:rsidRPr="00EE12AE">
        <w:rPr>
          <w:rFonts w:ascii="Open Sans" w:hAnsi="Open Sans" w:cs="Open Sans"/>
          <w:color w:val="000000"/>
        </w:rPr>
        <w:t>5.</w:t>
      </w:r>
      <w:r>
        <w:rPr>
          <w:rFonts w:ascii="Open Sans" w:hAnsi="Open Sans" w:cs="Open Sans"/>
          <w:color w:val="000000"/>
        </w:rPr>
        <w:t>411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; </w:t>
      </w:r>
      <w:r w:rsidRPr="00EE12AE">
        <w:rPr>
          <w:rFonts w:ascii="Open Sans" w:hAnsi="Open Sans" w:cs="Open Sans"/>
          <w:color w:val="000000"/>
        </w:rPr>
        <w:t>Chamartín</w:t>
      </w:r>
      <w:r>
        <w:rPr>
          <w:rFonts w:ascii="Open Sans" w:hAnsi="Open Sans" w:cs="Open Sans"/>
          <w:color w:val="000000"/>
        </w:rPr>
        <w:t>, con</w:t>
      </w:r>
      <w:r w:rsidRPr="00EE12AE">
        <w:rPr>
          <w:rFonts w:ascii="Open Sans" w:hAnsi="Open Sans" w:cs="Open Sans"/>
          <w:color w:val="000000"/>
        </w:rPr>
        <w:t xml:space="preserve"> 5.</w:t>
      </w:r>
      <w:r>
        <w:rPr>
          <w:rFonts w:ascii="Open Sans" w:hAnsi="Open Sans" w:cs="Open Sans"/>
          <w:color w:val="000000"/>
        </w:rPr>
        <w:t>243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;</w:t>
      </w:r>
      <w:r w:rsidRPr="00EE12AE">
        <w:rPr>
          <w:rFonts w:ascii="Open Sans" w:hAnsi="Open Sans" w:cs="Open Sans"/>
          <w:color w:val="000000"/>
        </w:rPr>
        <w:t xml:space="preserve"> y Centro</w:t>
      </w:r>
      <w:r>
        <w:rPr>
          <w:rFonts w:ascii="Open Sans" w:hAnsi="Open Sans" w:cs="Open Sans"/>
          <w:color w:val="000000"/>
        </w:rPr>
        <w:t>, con</w:t>
      </w:r>
      <w:r w:rsidRPr="00EE12AE">
        <w:rPr>
          <w:rFonts w:ascii="Open Sans" w:hAnsi="Open Sans" w:cs="Open Sans"/>
          <w:color w:val="000000"/>
        </w:rPr>
        <w:t xml:space="preserve"> 5.</w:t>
      </w:r>
      <w:r>
        <w:rPr>
          <w:rFonts w:ascii="Open Sans" w:hAnsi="Open Sans" w:cs="Open Sans"/>
          <w:color w:val="000000"/>
        </w:rPr>
        <w:t>124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 w:rsidRPr="00EE12AE">
        <w:rPr>
          <w:rFonts w:ascii="Open Sans" w:hAnsi="Open Sans" w:cs="Open Sans"/>
          <w:color w:val="000000"/>
        </w:rPr>
        <w:t>. En el lado opuesto, Villaverde</w:t>
      </w:r>
      <w:r>
        <w:rPr>
          <w:rFonts w:ascii="Open Sans" w:hAnsi="Open Sans" w:cs="Open Sans"/>
          <w:color w:val="000000"/>
        </w:rPr>
        <w:t xml:space="preserve">, el décimo distrito más poblado de Madrid,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además</w:t>
      </w:r>
      <w:r w:rsidRPr="00EE12AE">
        <w:rPr>
          <w:rFonts w:ascii="Open Sans" w:hAnsi="Open Sans" w:cs="Open Sans"/>
          <w:color w:val="000000"/>
        </w:rPr>
        <w:t xml:space="preserve"> el más económico para adquirir una vivienda de segunda mano, </w:t>
      </w:r>
      <w:r>
        <w:rPr>
          <w:rFonts w:ascii="Open Sans" w:hAnsi="Open Sans" w:cs="Open Sans"/>
          <w:color w:val="000000"/>
        </w:rPr>
        <w:t>en concreto su valor en enero es de</w:t>
      </w:r>
      <w:r w:rsidRPr="00EE12AE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787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</w:p>
    <w:p w14:paraId="6D0BC4F8" w14:textId="77777777" w:rsidR="00831318" w:rsidRDefault="0083131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 d</w:t>
      </w:r>
      <w:r w:rsidRPr="00A0415E">
        <w:rPr>
          <w:rFonts w:ascii="Open Sans" w:hAnsi="Open Sans" w:cs="Open Sans"/>
          <w:color w:val="000000"/>
        </w:rPr>
        <w:t>iferencia</w:t>
      </w:r>
      <w:r>
        <w:rPr>
          <w:rFonts w:ascii="Open Sans" w:hAnsi="Open Sans" w:cs="Open Sans"/>
          <w:color w:val="000000"/>
        </w:rPr>
        <w:t>s</w:t>
      </w:r>
      <w:r w:rsidRPr="00A0415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de </w:t>
      </w:r>
      <w:r w:rsidRPr="00A0415E">
        <w:rPr>
          <w:rFonts w:ascii="Open Sans" w:hAnsi="Open Sans" w:cs="Open Sans"/>
          <w:color w:val="000000"/>
        </w:rPr>
        <w:t>precio medio</w:t>
      </w:r>
      <w:r>
        <w:rPr>
          <w:rFonts w:ascii="Open Sans" w:hAnsi="Open Sans" w:cs="Open Sans"/>
          <w:color w:val="000000"/>
        </w:rPr>
        <w:t xml:space="preserve">, comprar una vivienda en el distrito más caro de Madrid capital, el distrito de Salamanca, sale un 245% más costoso que comprarla en el distrito más económico, Villaverde. </w:t>
      </w:r>
    </w:p>
    <w:p w14:paraId="77905FF1" w14:textId="77777777" w:rsidR="00914F28" w:rsidRDefault="00914F2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8BD9882" w14:textId="77777777" w:rsidR="00914F28" w:rsidRDefault="00914F2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C90AC17" w14:textId="77777777" w:rsidR="00914F28" w:rsidRDefault="00914F28" w:rsidP="00914F28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  <w:r w:rsidRPr="00914F2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lastRenderedPageBreak/>
        <w:t>Variación y precio en los distritos de Madrid</w:t>
      </w:r>
    </w:p>
    <w:p w14:paraId="7526A161" w14:textId="77777777" w:rsidR="00914F28" w:rsidRPr="00914F28" w:rsidRDefault="00914F28" w:rsidP="00914F28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</w:p>
    <w:tbl>
      <w:tblPr>
        <w:tblStyle w:val="Tabladecuadrcula5oscura-nfasis11"/>
        <w:tblpPr w:leftFromText="141" w:rightFromText="141" w:vertAnchor="text" w:horzAnchor="margin" w:tblpY="154"/>
        <w:tblW w:w="9189" w:type="dxa"/>
        <w:tblLook w:val="04A0" w:firstRow="1" w:lastRow="0" w:firstColumn="1" w:lastColumn="0" w:noHBand="0" w:noVBand="1"/>
      </w:tblPr>
      <w:tblGrid>
        <w:gridCol w:w="2938"/>
        <w:gridCol w:w="3132"/>
        <w:gridCol w:w="3119"/>
      </w:tblGrid>
      <w:tr w:rsidR="00831318" w:rsidRPr="001D286B" w14:paraId="1258A1C3" w14:textId="77777777" w:rsidTr="004B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vAlign w:val="center"/>
          </w:tcPr>
          <w:p w14:paraId="6609FAD3" w14:textId="77777777" w:rsidR="00831318" w:rsidRPr="001D286B" w:rsidRDefault="00831318" w:rsidP="004B4E0E">
            <w:pPr>
              <w:jc w:val="center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 w:rsidRPr="001D286B"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3132" w:type="dxa"/>
            <w:vAlign w:val="center"/>
          </w:tcPr>
          <w:p w14:paraId="27E862C5" w14:textId="77777777" w:rsidR="00831318" w:rsidRPr="001D286B" w:rsidRDefault="00831318" w:rsidP="004B4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Variación</w:t>
            </w:r>
          </w:p>
          <w:p w14:paraId="1921EB8C" w14:textId="77777777" w:rsidR="00831318" w:rsidRPr="001D286B" w:rsidRDefault="00831318" w:rsidP="004B4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3119" w:type="dxa"/>
            <w:vAlign w:val="center"/>
          </w:tcPr>
          <w:p w14:paraId="45561461" w14:textId="77777777" w:rsidR="00831318" w:rsidRPr="001D286B" w:rsidRDefault="00831318" w:rsidP="004B4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Enero 2019</w:t>
            </w:r>
            <w:r w:rsidRPr="001D286B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br/>
              <w:t>(€/m2)</w:t>
            </w:r>
          </w:p>
        </w:tc>
      </w:tr>
      <w:tr w:rsidR="00831318" w:rsidRPr="001D286B" w14:paraId="3BD7C692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6D42651E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</w:p>
        </w:tc>
        <w:tc>
          <w:tcPr>
            <w:tcW w:w="3132" w:type="dxa"/>
            <w:vAlign w:val="bottom"/>
          </w:tcPr>
          <w:p w14:paraId="272E2157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3119" w:type="dxa"/>
            <w:vAlign w:val="bottom"/>
          </w:tcPr>
          <w:p w14:paraId="2FC1E0BF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3.810 €</w:t>
            </w:r>
          </w:p>
        </w:tc>
      </w:tr>
      <w:tr w:rsidR="00831318" w:rsidRPr="001D286B" w14:paraId="15C1822C" w14:textId="77777777" w:rsidTr="004B4E0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FE997F1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3132" w:type="dxa"/>
            <w:vAlign w:val="bottom"/>
          </w:tcPr>
          <w:p w14:paraId="1F76EEA4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3119" w:type="dxa"/>
            <w:vAlign w:val="bottom"/>
          </w:tcPr>
          <w:p w14:paraId="30ADC73F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2.246 €</w:t>
            </w:r>
          </w:p>
        </w:tc>
      </w:tr>
      <w:tr w:rsidR="00831318" w:rsidRPr="001D286B" w14:paraId="08E1CE3F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3BAB93FF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</w:p>
        </w:tc>
        <w:tc>
          <w:tcPr>
            <w:tcW w:w="3132" w:type="dxa"/>
            <w:vAlign w:val="bottom"/>
          </w:tcPr>
          <w:p w14:paraId="40597873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3119" w:type="dxa"/>
            <w:vAlign w:val="bottom"/>
          </w:tcPr>
          <w:p w14:paraId="436EB350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2.280 €</w:t>
            </w:r>
          </w:p>
        </w:tc>
      </w:tr>
      <w:tr w:rsidR="00831318" w:rsidRPr="001D286B" w14:paraId="3012952B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9B1F39E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3132" w:type="dxa"/>
            <w:vAlign w:val="bottom"/>
          </w:tcPr>
          <w:p w14:paraId="1ADBDF19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3119" w:type="dxa"/>
            <w:vAlign w:val="bottom"/>
          </w:tcPr>
          <w:p w14:paraId="000A8EBD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2.408 €</w:t>
            </w:r>
          </w:p>
        </w:tc>
      </w:tr>
      <w:tr w:rsidR="00831318" w:rsidRPr="001D286B" w14:paraId="37D8E722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3F1686A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3132" w:type="dxa"/>
            <w:vAlign w:val="bottom"/>
          </w:tcPr>
          <w:p w14:paraId="6F3F9128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3119" w:type="dxa"/>
            <w:vAlign w:val="bottom"/>
          </w:tcPr>
          <w:p w14:paraId="74B0A5E3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2.622 €</w:t>
            </w:r>
          </w:p>
        </w:tc>
      </w:tr>
      <w:tr w:rsidR="00831318" w:rsidRPr="001D286B" w14:paraId="1395C700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1727CBF6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3132" w:type="dxa"/>
            <w:vAlign w:val="bottom"/>
          </w:tcPr>
          <w:p w14:paraId="6CC85037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3119" w:type="dxa"/>
            <w:vAlign w:val="bottom"/>
          </w:tcPr>
          <w:p w14:paraId="5BBA427E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2.464 €</w:t>
            </w:r>
          </w:p>
        </w:tc>
      </w:tr>
      <w:tr w:rsidR="00831318" w:rsidRPr="001D286B" w14:paraId="1585CC5B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3FFFBB3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3132" w:type="dxa"/>
            <w:vAlign w:val="bottom"/>
          </w:tcPr>
          <w:p w14:paraId="3E6804C7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3119" w:type="dxa"/>
            <w:vAlign w:val="bottom"/>
          </w:tcPr>
          <w:p w14:paraId="378C1EC9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1.939 €</w:t>
            </w:r>
          </w:p>
        </w:tc>
      </w:tr>
      <w:tr w:rsidR="00831318" w:rsidRPr="001D286B" w14:paraId="1399F82B" w14:textId="77777777" w:rsidTr="004B4E0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48FD6F89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3132" w:type="dxa"/>
            <w:vAlign w:val="bottom"/>
          </w:tcPr>
          <w:p w14:paraId="3DACC89D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3119" w:type="dxa"/>
            <w:vAlign w:val="bottom"/>
          </w:tcPr>
          <w:p w14:paraId="289913D1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1.787 €</w:t>
            </w:r>
          </w:p>
        </w:tc>
      </w:tr>
      <w:tr w:rsidR="00831318" w:rsidRPr="001D286B" w14:paraId="081FD4B9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14D248CA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Ciudad Lineal</w:t>
            </w:r>
          </w:p>
        </w:tc>
        <w:tc>
          <w:tcPr>
            <w:tcW w:w="3132" w:type="dxa"/>
            <w:vAlign w:val="bottom"/>
          </w:tcPr>
          <w:p w14:paraId="623F2594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3119" w:type="dxa"/>
            <w:vAlign w:val="bottom"/>
          </w:tcPr>
          <w:p w14:paraId="2B918173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3.090 €</w:t>
            </w:r>
          </w:p>
        </w:tc>
      </w:tr>
      <w:tr w:rsidR="00831318" w:rsidRPr="001D286B" w14:paraId="3B174776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48307CAC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3132" w:type="dxa"/>
            <w:vAlign w:val="bottom"/>
          </w:tcPr>
          <w:p w14:paraId="072BA68F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3119" w:type="dxa"/>
            <w:vAlign w:val="bottom"/>
          </w:tcPr>
          <w:p w14:paraId="30A167C9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3.829 €</w:t>
            </w:r>
          </w:p>
        </w:tc>
      </w:tr>
      <w:tr w:rsidR="00831318" w:rsidRPr="001D286B" w14:paraId="00FB8076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071D519D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3132" w:type="dxa"/>
            <w:vAlign w:val="bottom"/>
          </w:tcPr>
          <w:p w14:paraId="0AD09C0D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3119" w:type="dxa"/>
            <w:vAlign w:val="bottom"/>
          </w:tcPr>
          <w:p w14:paraId="7FFF520C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3.471 €</w:t>
            </w:r>
          </w:p>
        </w:tc>
      </w:tr>
      <w:tr w:rsidR="00831318" w:rsidRPr="001D286B" w14:paraId="1FADC8C6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4B7BEA23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3132" w:type="dxa"/>
            <w:vAlign w:val="bottom"/>
          </w:tcPr>
          <w:p w14:paraId="6BD20E31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3119" w:type="dxa"/>
            <w:vAlign w:val="bottom"/>
          </w:tcPr>
          <w:p w14:paraId="74774C0F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5.411 €</w:t>
            </w:r>
          </w:p>
        </w:tc>
      </w:tr>
      <w:tr w:rsidR="00831318" w:rsidRPr="001D286B" w14:paraId="5DFD2241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68FC0801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3132" w:type="dxa"/>
            <w:vAlign w:val="bottom"/>
          </w:tcPr>
          <w:p w14:paraId="27CBF16C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3119" w:type="dxa"/>
            <w:vAlign w:val="bottom"/>
          </w:tcPr>
          <w:p w14:paraId="55F974A8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4.777 €</w:t>
            </w:r>
          </w:p>
        </w:tc>
      </w:tr>
      <w:tr w:rsidR="00831318" w:rsidRPr="001D286B" w14:paraId="71634852" w14:textId="77777777" w:rsidTr="004B4E0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317ED8E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Centro</w:t>
            </w:r>
          </w:p>
        </w:tc>
        <w:tc>
          <w:tcPr>
            <w:tcW w:w="3132" w:type="dxa"/>
            <w:vAlign w:val="bottom"/>
          </w:tcPr>
          <w:p w14:paraId="58014789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3119" w:type="dxa"/>
            <w:vAlign w:val="bottom"/>
          </w:tcPr>
          <w:p w14:paraId="442242A3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5.124 €</w:t>
            </w:r>
          </w:p>
        </w:tc>
      </w:tr>
      <w:tr w:rsidR="00831318" w:rsidRPr="001D286B" w14:paraId="0B8111D0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08DA5B38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</w:p>
        </w:tc>
        <w:tc>
          <w:tcPr>
            <w:tcW w:w="3132" w:type="dxa"/>
            <w:vAlign w:val="bottom"/>
          </w:tcPr>
          <w:p w14:paraId="3BEA1656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3119" w:type="dxa"/>
            <w:vAlign w:val="bottom"/>
          </w:tcPr>
          <w:p w14:paraId="1E67B46A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4.186 €</w:t>
            </w:r>
          </w:p>
        </w:tc>
      </w:tr>
      <w:tr w:rsidR="00831318" w:rsidRPr="001D286B" w14:paraId="028330A6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1952117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3132" w:type="dxa"/>
            <w:vAlign w:val="bottom"/>
          </w:tcPr>
          <w:p w14:paraId="012368F8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3119" w:type="dxa"/>
            <w:vAlign w:val="bottom"/>
          </w:tcPr>
          <w:p w14:paraId="467E9E14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2.147 €</w:t>
            </w:r>
          </w:p>
        </w:tc>
      </w:tr>
      <w:tr w:rsidR="00831318" w:rsidRPr="001D286B" w14:paraId="718AB9D8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DEE04E7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3132" w:type="dxa"/>
            <w:vAlign w:val="bottom"/>
          </w:tcPr>
          <w:p w14:paraId="2F3EFF64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3119" w:type="dxa"/>
            <w:vAlign w:val="bottom"/>
          </w:tcPr>
          <w:p w14:paraId="1ED87845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6.155 €</w:t>
            </w:r>
          </w:p>
        </w:tc>
      </w:tr>
      <w:tr w:rsidR="00831318" w:rsidRPr="001D286B" w14:paraId="3477DCB3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20877F2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3132" w:type="dxa"/>
            <w:vAlign w:val="bottom"/>
          </w:tcPr>
          <w:p w14:paraId="49EE6F15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3119" w:type="dxa"/>
            <w:vAlign w:val="bottom"/>
          </w:tcPr>
          <w:p w14:paraId="5B284F52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4.344 €</w:t>
            </w:r>
          </w:p>
        </w:tc>
      </w:tr>
      <w:tr w:rsidR="00831318" w:rsidRPr="001D286B" w14:paraId="030F33C6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55A85AF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3132" w:type="dxa"/>
            <w:vAlign w:val="bottom"/>
          </w:tcPr>
          <w:p w14:paraId="2CC76F6E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3119" w:type="dxa"/>
            <w:vAlign w:val="bottom"/>
          </w:tcPr>
          <w:p w14:paraId="7A0A9551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3.321 €</w:t>
            </w:r>
          </w:p>
        </w:tc>
      </w:tr>
      <w:tr w:rsidR="00831318" w:rsidRPr="001D286B" w14:paraId="77B8CBC3" w14:textId="77777777" w:rsidTr="004B4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941E368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3132" w:type="dxa"/>
            <w:vAlign w:val="bottom"/>
          </w:tcPr>
          <w:p w14:paraId="6FBDFAA0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-0,3 %</w:t>
            </w:r>
          </w:p>
        </w:tc>
        <w:tc>
          <w:tcPr>
            <w:tcW w:w="3119" w:type="dxa"/>
            <w:vAlign w:val="bottom"/>
          </w:tcPr>
          <w:p w14:paraId="6644C7FB" w14:textId="77777777" w:rsidR="00831318" w:rsidRPr="001D286B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5.243 €</w:t>
            </w:r>
          </w:p>
        </w:tc>
      </w:tr>
      <w:tr w:rsidR="00831318" w:rsidRPr="001D286B" w14:paraId="65A87D90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076DE10B" w14:textId="77777777" w:rsidR="00831318" w:rsidRPr="001D286B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</w:p>
        </w:tc>
        <w:tc>
          <w:tcPr>
            <w:tcW w:w="3132" w:type="dxa"/>
            <w:vAlign w:val="bottom"/>
          </w:tcPr>
          <w:p w14:paraId="1D5F1760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-0,4 %</w:t>
            </w:r>
          </w:p>
        </w:tc>
        <w:tc>
          <w:tcPr>
            <w:tcW w:w="3119" w:type="dxa"/>
            <w:vAlign w:val="bottom"/>
          </w:tcPr>
          <w:p w14:paraId="64107013" w14:textId="77777777" w:rsidR="00831318" w:rsidRPr="001D286B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1D286B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2.519 €</w:t>
            </w:r>
          </w:p>
        </w:tc>
      </w:tr>
    </w:tbl>
    <w:p w14:paraId="0BE5F666" w14:textId="77777777" w:rsidR="00831318" w:rsidRDefault="0083131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02A6EEA" w14:textId="77777777" w:rsidR="00831318" w:rsidRDefault="0083131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95FE0">
        <w:rPr>
          <w:rFonts w:ascii="Open Sans" w:hAnsi="Open Sans" w:cs="Open Sans"/>
          <w:color w:val="000000"/>
        </w:rPr>
        <w:t xml:space="preserve">En la </w:t>
      </w:r>
      <w:r w:rsidRPr="00914F28">
        <w:rPr>
          <w:rFonts w:ascii="Open Sans" w:hAnsi="Open Sans" w:cs="Open Sans"/>
          <w:b/>
          <w:color w:val="000000"/>
        </w:rPr>
        <w:t>ciudad de Barcelona</w:t>
      </w:r>
      <w:r w:rsidRPr="00395FE0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cinco</w:t>
      </w:r>
      <w:r w:rsidRPr="00395FE0">
        <w:rPr>
          <w:rFonts w:ascii="Open Sans" w:hAnsi="Open Sans" w:cs="Open Sans"/>
          <w:color w:val="000000"/>
        </w:rPr>
        <w:t xml:space="preserve"> de los diez distritos analizados por </w:t>
      </w:r>
      <w:hyperlink r:id="rId15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395FE0">
        <w:rPr>
          <w:rFonts w:ascii="Open Sans" w:hAnsi="Open Sans" w:cs="Open Sans"/>
          <w:color w:val="000000"/>
        </w:rPr>
        <w:t xml:space="preserve"> incrementan el precio en </w:t>
      </w:r>
      <w:r>
        <w:rPr>
          <w:rFonts w:ascii="Open Sans" w:hAnsi="Open Sans" w:cs="Open Sans"/>
          <w:color w:val="000000"/>
        </w:rPr>
        <w:t>enero</w:t>
      </w:r>
      <w:r w:rsidRPr="00395FE0">
        <w:rPr>
          <w:rFonts w:ascii="Open Sans" w:hAnsi="Open Sans" w:cs="Open Sans"/>
          <w:color w:val="000000"/>
        </w:rPr>
        <w:t xml:space="preserve">. El </w:t>
      </w:r>
      <w:r>
        <w:rPr>
          <w:rFonts w:ascii="Open Sans" w:hAnsi="Open Sans" w:cs="Open Sans"/>
          <w:color w:val="000000"/>
        </w:rPr>
        <w:t xml:space="preserve">distrito que más sube es </w:t>
      </w:r>
      <w:r w:rsidRPr="00FA26E5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un 1,7%. Le sigue muy de cerca </w:t>
      </w:r>
      <w:r w:rsidRPr="00A0415E">
        <w:rPr>
          <w:rFonts w:ascii="Open Sans" w:hAnsi="Open Sans" w:cs="Open Sans"/>
          <w:color w:val="000000"/>
        </w:rPr>
        <w:t>Gràcia</w:t>
      </w:r>
      <w:r>
        <w:rPr>
          <w:rFonts w:ascii="Open Sans" w:hAnsi="Open Sans" w:cs="Open Sans"/>
          <w:color w:val="000000"/>
        </w:rPr>
        <w:t xml:space="preserve"> con un 1,5% y </w:t>
      </w:r>
      <w:r w:rsidRPr="00A0415E">
        <w:rPr>
          <w:rFonts w:ascii="Open Sans" w:hAnsi="Open Sans" w:cs="Open Sans"/>
          <w:color w:val="000000"/>
        </w:rPr>
        <w:t>Sant Martí</w:t>
      </w:r>
      <w:r>
        <w:rPr>
          <w:rFonts w:ascii="Open Sans" w:hAnsi="Open Sans" w:cs="Open Sans"/>
          <w:color w:val="000000"/>
        </w:rPr>
        <w:t xml:space="preserve"> con un 1,1% de incremento mensual.</w:t>
      </w:r>
    </w:p>
    <w:p w14:paraId="46EDC1E7" w14:textId="77777777" w:rsidR="00914F28" w:rsidRDefault="00914F2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A348BEB" w14:textId="77777777" w:rsidR="00831318" w:rsidRDefault="0083131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distrito más caro para vivir en Barcelona sigue siendo </w:t>
      </w:r>
      <w:r w:rsidRPr="00A0415E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un precio de 5.717€/m2 y el más económico es Nou </w:t>
      </w:r>
      <w:proofErr w:type="spellStart"/>
      <w:r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un 2.628€/m</w:t>
      </w:r>
      <w:r w:rsidRPr="00FF6545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A0415E">
        <w:rPr>
          <w:rFonts w:ascii="Open Sans" w:hAnsi="Open Sans" w:cs="Open Sans"/>
          <w:color w:val="000000"/>
        </w:rPr>
        <w:t xml:space="preserve">La diferencia </w:t>
      </w:r>
      <w:r>
        <w:rPr>
          <w:rFonts w:ascii="Open Sans" w:hAnsi="Open Sans" w:cs="Open Sans"/>
          <w:color w:val="000000"/>
        </w:rPr>
        <w:t xml:space="preserve">de </w:t>
      </w:r>
      <w:r w:rsidRPr="00A0415E">
        <w:rPr>
          <w:rFonts w:ascii="Open Sans" w:hAnsi="Open Sans" w:cs="Open Sans"/>
          <w:color w:val="000000"/>
        </w:rPr>
        <w:t xml:space="preserve">precio medio </w:t>
      </w:r>
      <w:r>
        <w:rPr>
          <w:rFonts w:ascii="Open Sans" w:hAnsi="Open Sans" w:cs="Open Sans"/>
          <w:color w:val="000000"/>
        </w:rPr>
        <w:t xml:space="preserve">entre ambas se produce en </w:t>
      </w:r>
      <w:r w:rsidRPr="00A0415E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, que es superior al precio de Nou </w:t>
      </w:r>
      <w:proofErr w:type="spellStart"/>
      <w:r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en un 118% en enero.</w:t>
      </w:r>
    </w:p>
    <w:p w14:paraId="3CE87769" w14:textId="77777777" w:rsidR="00914F28" w:rsidRDefault="00914F2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/>
          <w:color w:val="404040" w:themeColor="text1" w:themeTint="BF"/>
        </w:rPr>
      </w:pPr>
    </w:p>
    <w:p w14:paraId="3D39C419" w14:textId="77777777" w:rsidR="00914F28" w:rsidRDefault="00914F28" w:rsidP="0083131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/>
          <w:color w:val="404040" w:themeColor="text1" w:themeTint="BF"/>
        </w:rPr>
      </w:pPr>
    </w:p>
    <w:p w14:paraId="6C24BB76" w14:textId="77777777" w:rsidR="00914F28" w:rsidRDefault="00914F28" w:rsidP="00914F28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  <w:r w:rsidRPr="00914F2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lastRenderedPageBreak/>
        <w:t xml:space="preserve">Variación y precio en los distritos de </w:t>
      </w:r>
      <w:r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>Barcelona</w:t>
      </w:r>
    </w:p>
    <w:p w14:paraId="5838898A" w14:textId="77777777" w:rsidR="00914F28" w:rsidRPr="002668B8" w:rsidRDefault="00914F28" w:rsidP="00914F28">
      <w:pPr>
        <w:spacing w:line="276" w:lineRule="auto"/>
        <w:ind w:right="-574"/>
        <w:jc w:val="center"/>
        <w:rPr>
          <w:rFonts w:ascii="Open Sans Light" w:hAnsi="Open Sans Light"/>
          <w:color w:val="404040" w:themeColor="text1" w:themeTint="BF"/>
        </w:rPr>
      </w:pPr>
    </w:p>
    <w:tbl>
      <w:tblPr>
        <w:tblStyle w:val="Tabladecuadrcula5oscura-nfasis11"/>
        <w:tblW w:w="9180" w:type="dxa"/>
        <w:tblInd w:w="108" w:type="dxa"/>
        <w:tblLook w:val="04A0" w:firstRow="1" w:lastRow="0" w:firstColumn="1" w:lastColumn="0" w:noHBand="0" w:noVBand="1"/>
      </w:tblPr>
      <w:tblGrid>
        <w:gridCol w:w="3516"/>
        <w:gridCol w:w="2829"/>
        <w:gridCol w:w="2835"/>
      </w:tblGrid>
      <w:tr w:rsidR="00831318" w:rsidRPr="00FF6545" w14:paraId="2944BEAD" w14:textId="77777777" w:rsidTr="004B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vAlign w:val="center"/>
          </w:tcPr>
          <w:p w14:paraId="0C014DBA" w14:textId="77777777" w:rsidR="00831318" w:rsidRPr="00FF6545" w:rsidRDefault="00831318" w:rsidP="004B4E0E">
            <w:pPr>
              <w:jc w:val="center"/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</w:pPr>
            <w:r w:rsidRPr="00FF6545">
              <w:rPr>
                <w:rFonts w:ascii="Open Sans Light" w:hAnsi="Open Sans Light" w:cs="Open Sans Light"/>
                <w:iCs/>
                <w:sz w:val="22"/>
                <w:szCs w:val="22"/>
                <w:lang w:val="es-ES"/>
              </w:rPr>
              <w:t>Distritos</w:t>
            </w:r>
          </w:p>
        </w:tc>
        <w:tc>
          <w:tcPr>
            <w:tcW w:w="2829" w:type="dxa"/>
            <w:vAlign w:val="center"/>
          </w:tcPr>
          <w:p w14:paraId="290F7CD6" w14:textId="77777777" w:rsidR="00831318" w:rsidRPr="00FF6545" w:rsidRDefault="00831318" w:rsidP="004B4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Variación</w:t>
            </w:r>
          </w:p>
          <w:p w14:paraId="5234F449" w14:textId="77777777" w:rsidR="00831318" w:rsidRPr="00FF6545" w:rsidRDefault="00831318" w:rsidP="004B4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835" w:type="dxa"/>
            <w:vAlign w:val="center"/>
          </w:tcPr>
          <w:p w14:paraId="548C667D" w14:textId="77777777" w:rsidR="00831318" w:rsidRPr="00FF6545" w:rsidRDefault="00831318" w:rsidP="004B4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2"/>
                <w:szCs w:val="22"/>
                <w:lang w:val="es-ES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t>Enero 2019</w:t>
            </w:r>
            <w:r w:rsidRPr="00FF6545">
              <w:rPr>
                <w:rFonts w:ascii="Open Sans Light" w:hAnsi="Open Sans Light" w:cs="Open Sans Light"/>
                <w:sz w:val="22"/>
                <w:szCs w:val="22"/>
                <w:lang w:val="es-ES"/>
              </w:rPr>
              <w:br/>
              <w:t>(€/m2)</w:t>
            </w:r>
          </w:p>
        </w:tc>
      </w:tr>
      <w:tr w:rsidR="00831318" w:rsidRPr="00FF6545" w14:paraId="71003EFF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4D53B097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Sarrià - Sant Gervasi</w:t>
            </w:r>
          </w:p>
        </w:tc>
        <w:tc>
          <w:tcPr>
            <w:tcW w:w="2829" w:type="dxa"/>
            <w:vAlign w:val="bottom"/>
          </w:tcPr>
          <w:p w14:paraId="1EAA5E1C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835" w:type="dxa"/>
            <w:vAlign w:val="bottom"/>
          </w:tcPr>
          <w:p w14:paraId="08E91611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5.717 €</w:t>
            </w:r>
          </w:p>
        </w:tc>
      </w:tr>
      <w:tr w:rsidR="00831318" w:rsidRPr="00FF6545" w14:paraId="2203F9AF" w14:textId="77777777" w:rsidTr="004B4E0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317DBF03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</w:p>
        </w:tc>
        <w:tc>
          <w:tcPr>
            <w:tcW w:w="2829" w:type="dxa"/>
            <w:vAlign w:val="bottom"/>
          </w:tcPr>
          <w:p w14:paraId="4015B207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835" w:type="dxa"/>
            <w:vAlign w:val="bottom"/>
          </w:tcPr>
          <w:p w14:paraId="1B5B8B84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4.656 €</w:t>
            </w:r>
          </w:p>
        </w:tc>
      </w:tr>
      <w:tr w:rsidR="00831318" w:rsidRPr="00FF6545" w14:paraId="11CD9AD1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0D8E60EE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Sant Martí</w:t>
            </w:r>
          </w:p>
        </w:tc>
        <w:tc>
          <w:tcPr>
            <w:tcW w:w="2829" w:type="dxa"/>
            <w:vAlign w:val="bottom"/>
          </w:tcPr>
          <w:p w14:paraId="2A294056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835" w:type="dxa"/>
            <w:vAlign w:val="bottom"/>
          </w:tcPr>
          <w:p w14:paraId="0B95EDB9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4.165 €</w:t>
            </w:r>
          </w:p>
        </w:tc>
      </w:tr>
      <w:tr w:rsidR="00831318" w:rsidRPr="00FF6545" w14:paraId="1C7519A1" w14:textId="77777777" w:rsidTr="004B4E0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17B8F7C7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Sants - Montjuïc</w:t>
            </w:r>
          </w:p>
        </w:tc>
        <w:tc>
          <w:tcPr>
            <w:tcW w:w="2829" w:type="dxa"/>
            <w:vAlign w:val="bottom"/>
          </w:tcPr>
          <w:p w14:paraId="2E065B72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835" w:type="dxa"/>
            <w:vAlign w:val="bottom"/>
          </w:tcPr>
          <w:p w14:paraId="44EEE933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3.911 €</w:t>
            </w:r>
          </w:p>
        </w:tc>
      </w:tr>
      <w:tr w:rsidR="00831318" w:rsidRPr="00FF6545" w14:paraId="0A43A279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5364EFA2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Sant Andreu</w:t>
            </w:r>
          </w:p>
        </w:tc>
        <w:tc>
          <w:tcPr>
            <w:tcW w:w="2829" w:type="dxa"/>
            <w:vAlign w:val="bottom"/>
          </w:tcPr>
          <w:p w14:paraId="6249F1E4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835" w:type="dxa"/>
            <w:vAlign w:val="bottom"/>
          </w:tcPr>
          <w:p w14:paraId="49D1A213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3.238 €</w:t>
            </w:r>
          </w:p>
        </w:tc>
      </w:tr>
      <w:tr w:rsidR="00831318" w:rsidRPr="00FF6545" w14:paraId="780EA0D2" w14:textId="77777777" w:rsidTr="004B4E0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5FBCC130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</w:p>
        </w:tc>
        <w:tc>
          <w:tcPr>
            <w:tcW w:w="2829" w:type="dxa"/>
            <w:vAlign w:val="bottom"/>
          </w:tcPr>
          <w:p w14:paraId="674C4858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2835" w:type="dxa"/>
            <w:vAlign w:val="bottom"/>
          </w:tcPr>
          <w:p w14:paraId="7480461C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5.138 €</w:t>
            </w:r>
          </w:p>
        </w:tc>
      </w:tr>
      <w:tr w:rsidR="00831318" w:rsidRPr="00FF6545" w14:paraId="5C23A362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643C93D8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Les Corts</w:t>
            </w:r>
          </w:p>
        </w:tc>
        <w:tc>
          <w:tcPr>
            <w:tcW w:w="2829" w:type="dxa"/>
            <w:vAlign w:val="bottom"/>
          </w:tcPr>
          <w:p w14:paraId="0300B38B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2835" w:type="dxa"/>
            <w:vAlign w:val="bottom"/>
          </w:tcPr>
          <w:p w14:paraId="4CF48874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4.906 €</w:t>
            </w:r>
          </w:p>
        </w:tc>
      </w:tr>
      <w:tr w:rsidR="00831318" w:rsidRPr="00FF6545" w14:paraId="74C49EE9" w14:textId="77777777" w:rsidTr="004B4E0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5E3FBDE4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Ciutat</w:t>
            </w:r>
            <w:proofErr w:type="spellEnd"/>
            <w:r w:rsidRPr="00FF6545">
              <w:rPr>
                <w:rFonts w:ascii="Open Sans Light" w:hAnsi="Open Sans Light" w:cs="Open Sans Light"/>
                <w:sz w:val="22"/>
                <w:szCs w:val="22"/>
              </w:rPr>
              <w:t xml:space="preserve"> Vella</w:t>
            </w:r>
          </w:p>
        </w:tc>
        <w:tc>
          <w:tcPr>
            <w:tcW w:w="2829" w:type="dxa"/>
            <w:vAlign w:val="bottom"/>
          </w:tcPr>
          <w:p w14:paraId="4E64C51F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2835" w:type="dxa"/>
            <w:vAlign w:val="bottom"/>
          </w:tcPr>
          <w:p w14:paraId="0AEB0251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4.630 €</w:t>
            </w:r>
          </w:p>
        </w:tc>
      </w:tr>
      <w:tr w:rsidR="00831318" w:rsidRPr="00FF6545" w14:paraId="093F482F" w14:textId="77777777" w:rsidTr="004B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36114768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 xml:space="preserve">Nou </w:t>
            </w:r>
            <w:proofErr w:type="spellStart"/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829" w:type="dxa"/>
            <w:vAlign w:val="bottom"/>
          </w:tcPr>
          <w:p w14:paraId="4FED36E0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-0,3 %</w:t>
            </w:r>
          </w:p>
        </w:tc>
        <w:tc>
          <w:tcPr>
            <w:tcW w:w="2835" w:type="dxa"/>
            <w:vAlign w:val="bottom"/>
          </w:tcPr>
          <w:p w14:paraId="5A5EFDE6" w14:textId="77777777" w:rsidR="00831318" w:rsidRPr="00FF6545" w:rsidRDefault="00831318" w:rsidP="004B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2.628 €</w:t>
            </w:r>
          </w:p>
        </w:tc>
      </w:tr>
      <w:tr w:rsidR="00831318" w:rsidRPr="00FF6545" w14:paraId="582C6A0D" w14:textId="77777777" w:rsidTr="004B4E0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5BC0EE91" w14:textId="77777777" w:rsidR="00831318" w:rsidRPr="00FF6545" w:rsidRDefault="00831318" w:rsidP="004B4E0E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sz w:val="22"/>
                <w:szCs w:val="22"/>
              </w:rPr>
              <w:t>Horta - Guinardó</w:t>
            </w:r>
          </w:p>
        </w:tc>
        <w:tc>
          <w:tcPr>
            <w:tcW w:w="2829" w:type="dxa"/>
            <w:vAlign w:val="bottom"/>
          </w:tcPr>
          <w:p w14:paraId="138D130F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FF0000"/>
                <w:sz w:val="22"/>
                <w:szCs w:val="22"/>
              </w:rPr>
              <w:t>-0,4 %</w:t>
            </w:r>
          </w:p>
        </w:tc>
        <w:tc>
          <w:tcPr>
            <w:tcW w:w="2835" w:type="dxa"/>
            <w:vAlign w:val="bottom"/>
          </w:tcPr>
          <w:p w14:paraId="2620ECE2" w14:textId="77777777" w:rsidR="00831318" w:rsidRPr="00FF6545" w:rsidRDefault="00831318" w:rsidP="004B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 w:rsidRPr="00FF6545">
              <w:rPr>
                <w:rFonts w:ascii="Open Sans Light" w:hAnsi="Open Sans Light" w:cs="Open Sans Light"/>
                <w:color w:val="000000"/>
                <w:sz w:val="22"/>
                <w:szCs w:val="22"/>
              </w:rPr>
              <w:t>3.220 €</w:t>
            </w:r>
          </w:p>
        </w:tc>
      </w:tr>
    </w:tbl>
    <w:p w14:paraId="3AED474B" w14:textId="77777777" w:rsidR="00831318" w:rsidRDefault="00831318" w:rsidP="0083131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BD4E888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1E96C8A" w14:textId="77777777"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22F5E0BF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dispone </w:t>
      </w:r>
      <w:r w:rsidR="00BC419A">
        <w:rPr>
          <w:rFonts w:ascii="Open Sans" w:hAnsi="Open Sans" w:cs="Open Sans"/>
          <w:color w:val="000000"/>
          <w:sz w:val="21"/>
          <w:szCs w:val="21"/>
        </w:rPr>
        <w:t>de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oferta tanto </w:t>
      </w:r>
      <w:r w:rsidR="00BC419A">
        <w:rPr>
          <w:rFonts w:ascii="Open Sans" w:hAnsi="Open Sans" w:cs="Open Sans"/>
          <w:color w:val="000000"/>
          <w:sz w:val="21"/>
          <w:szCs w:val="21"/>
        </w:rPr>
        <w:t xml:space="preserve">de </w:t>
      </w:r>
      <w:r w:rsidRPr="00B41A97">
        <w:rPr>
          <w:rFonts w:ascii="Open Sans" w:hAnsi="Open Sans" w:cs="Open Sans"/>
          <w:color w:val="000000"/>
          <w:sz w:val="21"/>
          <w:szCs w:val="21"/>
        </w:rPr>
        <w:t>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 como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14:paraId="4DBBC78B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6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14:paraId="37E2F644" w14:textId="77777777"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190E4F38" w14:textId="77777777" w:rsidR="00B41A97" w:rsidRDefault="00350011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7" w:history="1"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8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 Spain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de empleo más grande y diversificada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20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2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3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4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Schibsted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Schibsted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Schibsted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14:paraId="5501D9E1" w14:textId="77777777"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431071F7" w14:textId="77777777" w:rsidR="00AD2B56" w:rsidRPr="00B41A97" w:rsidRDefault="00AD2B56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68F0F9C7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FAB3A74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66EE7B4F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14:paraId="65FD799C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82F55CD" w14:textId="77777777" w:rsidR="00B41A97" w:rsidRPr="00B41A97" w:rsidRDefault="00350011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5AFB642D" w14:textId="77777777" w:rsidR="00B41A97" w:rsidRPr="00B41A97" w:rsidRDefault="00350011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6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793EEFDB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2603" w14:textId="77777777" w:rsidR="0093735E" w:rsidRDefault="0093735E" w:rsidP="00DD4CA4">
      <w:r>
        <w:separator/>
      </w:r>
    </w:p>
  </w:endnote>
  <w:endnote w:type="continuationSeparator" w:id="0">
    <w:p w14:paraId="6E123C07" w14:textId="77777777"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AAF7" w14:textId="77777777"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14DC28BB" wp14:editId="5D1359FC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BCAE" w14:textId="77777777" w:rsidR="0093735E" w:rsidRDefault="0093735E" w:rsidP="00DD4CA4">
      <w:r>
        <w:separator/>
      </w:r>
    </w:p>
  </w:footnote>
  <w:footnote w:type="continuationSeparator" w:id="0">
    <w:p w14:paraId="625CB355" w14:textId="77777777"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5DEB"/>
    <w:multiLevelType w:val="hybridMultilevel"/>
    <w:tmpl w:val="87BC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74288"/>
    <w:rsid w:val="000C5473"/>
    <w:rsid w:val="000F6560"/>
    <w:rsid w:val="001150E7"/>
    <w:rsid w:val="00152FC9"/>
    <w:rsid w:val="001E61FA"/>
    <w:rsid w:val="00247090"/>
    <w:rsid w:val="002A35C0"/>
    <w:rsid w:val="002D7A32"/>
    <w:rsid w:val="00314636"/>
    <w:rsid w:val="00350011"/>
    <w:rsid w:val="00381AD0"/>
    <w:rsid w:val="00416100"/>
    <w:rsid w:val="004577E7"/>
    <w:rsid w:val="004733B0"/>
    <w:rsid w:val="004A5318"/>
    <w:rsid w:val="004B0DEC"/>
    <w:rsid w:val="004C1ED5"/>
    <w:rsid w:val="004F52D0"/>
    <w:rsid w:val="005029E9"/>
    <w:rsid w:val="00503F5B"/>
    <w:rsid w:val="00512A16"/>
    <w:rsid w:val="00555725"/>
    <w:rsid w:val="00557588"/>
    <w:rsid w:val="005A4CB5"/>
    <w:rsid w:val="00661226"/>
    <w:rsid w:val="006B1658"/>
    <w:rsid w:val="007027AA"/>
    <w:rsid w:val="00727554"/>
    <w:rsid w:val="00753088"/>
    <w:rsid w:val="00757DAE"/>
    <w:rsid w:val="00763677"/>
    <w:rsid w:val="0077674C"/>
    <w:rsid w:val="007836C2"/>
    <w:rsid w:val="00793775"/>
    <w:rsid w:val="007A55E0"/>
    <w:rsid w:val="007D43C2"/>
    <w:rsid w:val="007E18DE"/>
    <w:rsid w:val="008062B1"/>
    <w:rsid w:val="00831318"/>
    <w:rsid w:val="008373B8"/>
    <w:rsid w:val="00861710"/>
    <w:rsid w:val="008A3781"/>
    <w:rsid w:val="008E3EB4"/>
    <w:rsid w:val="008E4D21"/>
    <w:rsid w:val="00914F28"/>
    <w:rsid w:val="0093735E"/>
    <w:rsid w:val="009B6AE8"/>
    <w:rsid w:val="009D0F6B"/>
    <w:rsid w:val="00A70E42"/>
    <w:rsid w:val="00A84CA7"/>
    <w:rsid w:val="00AD0C78"/>
    <w:rsid w:val="00AD2B56"/>
    <w:rsid w:val="00AD62DD"/>
    <w:rsid w:val="00AF4D43"/>
    <w:rsid w:val="00B10769"/>
    <w:rsid w:val="00B41A97"/>
    <w:rsid w:val="00B70D0B"/>
    <w:rsid w:val="00B91AB4"/>
    <w:rsid w:val="00BC1D19"/>
    <w:rsid w:val="00BC419A"/>
    <w:rsid w:val="00C06F44"/>
    <w:rsid w:val="00C30C36"/>
    <w:rsid w:val="00C31F55"/>
    <w:rsid w:val="00C3513E"/>
    <w:rsid w:val="00C456C3"/>
    <w:rsid w:val="00D31A57"/>
    <w:rsid w:val="00D3495E"/>
    <w:rsid w:val="00D616F7"/>
    <w:rsid w:val="00D660C5"/>
    <w:rsid w:val="00D72557"/>
    <w:rsid w:val="00D91C64"/>
    <w:rsid w:val="00DA4CE3"/>
    <w:rsid w:val="00DA78C7"/>
    <w:rsid w:val="00DC7AC3"/>
    <w:rsid w:val="00DD4CA4"/>
    <w:rsid w:val="00DE4584"/>
    <w:rsid w:val="00E903FB"/>
    <w:rsid w:val="00ED6CFA"/>
    <w:rsid w:val="00EE7458"/>
    <w:rsid w:val="00F114F6"/>
    <w:rsid w:val="00F847AB"/>
    <w:rsid w:val="00F96E80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CC1974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F53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https://www.milanunci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" TargetMode="External"/><Relationship Id="rId23" Type="http://schemas.openxmlformats.org/officeDocument/2006/relationships/hyperlink" Target="https://motos.coches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otocasa.es/indice/" TargetMode="External"/><Relationship Id="rId19" Type="http://schemas.openxmlformats.org/officeDocument/2006/relationships/hyperlink" Target="https://www.vibb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s://www.coches.ne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71A5-AFB6-4F39-88D0-FC65263D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1419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58</cp:revision>
  <cp:lastPrinted>2019-02-05T09:32:00Z</cp:lastPrinted>
  <dcterms:created xsi:type="dcterms:W3CDTF">2018-08-31T08:03:00Z</dcterms:created>
  <dcterms:modified xsi:type="dcterms:W3CDTF">2019-02-05T09:44:00Z</dcterms:modified>
</cp:coreProperties>
</file>