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CC3D53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FEBRERO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C013FA" w:rsidRPr="009570C4" w:rsidRDefault="009570C4" w:rsidP="009570C4">
      <w:pPr>
        <w:pStyle w:val="Prrafodelista"/>
        <w:ind w:left="-1134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r w:rsidRPr="009570C4">
        <w:rPr>
          <w:rFonts w:ascii="Open Sans" w:hAnsi="Open Sans"/>
          <w:b/>
          <w:bCs/>
          <w:color w:val="062151"/>
          <w:sz w:val="44"/>
          <w:szCs w:val="44"/>
          <w:lang w:val="es-ES"/>
        </w:rPr>
        <w:t>El precio de la vivienda de segunda mano sube un 0,</w:t>
      </w:r>
      <w:r w:rsidR="00CC3D53">
        <w:rPr>
          <w:rFonts w:ascii="Open Sans" w:hAnsi="Open Sans"/>
          <w:b/>
          <w:bCs/>
          <w:color w:val="062151"/>
          <w:sz w:val="44"/>
          <w:szCs w:val="44"/>
          <w:lang w:val="es-ES"/>
        </w:rPr>
        <w:t>3</w:t>
      </w:r>
      <w:r w:rsidRPr="009570C4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% en </w:t>
      </w:r>
      <w:r w:rsidR="00CC3D53">
        <w:rPr>
          <w:rFonts w:ascii="Open Sans" w:hAnsi="Open Sans"/>
          <w:b/>
          <w:bCs/>
          <w:color w:val="062151"/>
          <w:sz w:val="44"/>
          <w:szCs w:val="44"/>
          <w:lang w:val="es-ES"/>
        </w:rPr>
        <w:t>febrero</w:t>
      </w:r>
    </w:p>
    <w:p w:rsidR="009570C4" w:rsidRDefault="009570C4" w:rsidP="00C013FA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9570C4" w:rsidRPr="009570C4" w:rsidRDefault="00CC3D53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El precio sube en 11</w:t>
      </w:r>
      <w:r w:rsidR="009570C4" w:rsidRPr="009570C4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comunidades autónomas y se mantiene en dos</w:t>
      </w:r>
    </w:p>
    <w:p w:rsidR="009570C4" w:rsidRDefault="009570C4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9570C4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de segunda mano se sitúa en 1.74</w:t>
      </w:r>
      <w:r w:rsidR="002D49CF">
        <w:rPr>
          <w:rFonts w:ascii="Open Sans Light" w:hAnsi="Open Sans Light"/>
          <w:b/>
          <w:bCs/>
          <w:color w:val="404040" w:themeColor="text1" w:themeTint="BF"/>
          <w:lang w:val="es-ES"/>
        </w:rPr>
        <w:t>7</w:t>
      </w:r>
      <w:r w:rsidRPr="009570C4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€/m2 en </w:t>
      </w:r>
      <w:r w:rsidR="002D49CF">
        <w:rPr>
          <w:rFonts w:ascii="Open Sans Light" w:hAnsi="Open Sans Light"/>
          <w:b/>
          <w:bCs/>
          <w:color w:val="404040" w:themeColor="text1" w:themeTint="BF"/>
          <w:lang w:val="es-ES"/>
        </w:rPr>
        <w:t>febrero</w:t>
      </w:r>
    </w:p>
    <w:p w:rsidR="002D49CF" w:rsidRPr="009570C4" w:rsidRDefault="002D49CF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Interanualmente, el precio de la vivienda se incrementa un 5,1%</w:t>
      </w:r>
    </w:p>
    <w:p w:rsidR="009570C4" w:rsidRPr="00C55A00" w:rsidRDefault="00C55A00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C55A00">
        <w:rPr>
          <w:rFonts w:ascii="Open Sans Light" w:hAnsi="Open Sans Light"/>
          <w:b/>
          <w:bCs/>
          <w:color w:val="404040" w:themeColor="text1" w:themeTint="BF"/>
          <w:lang w:val="es-ES"/>
        </w:rPr>
        <w:t>29</w:t>
      </w:r>
      <w:r w:rsidR="009570C4" w:rsidRPr="00C55A00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provincias incrementan el precio </w:t>
      </w:r>
      <w:r w:rsidRPr="00C55A00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mensual </w:t>
      </w:r>
      <w:r w:rsidR="009570C4" w:rsidRPr="00C55A00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en el mes de </w:t>
      </w:r>
      <w:r w:rsidRPr="00C55A00">
        <w:rPr>
          <w:rFonts w:ascii="Open Sans Light" w:hAnsi="Open Sans Light"/>
          <w:b/>
          <w:bCs/>
          <w:color w:val="404040" w:themeColor="text1" w:themeTint="BF"/>
          <w:lang w:val="es-ES"/>
        </w:rPr>
        <w:t>febrero</w:t>
      </w:r>
    </w:p>
    <w:p w:rsidR="009570C4" w:rsidRPr="003E157A" w:rsidRDefault="009570C4" w:rsidP="009570C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3E157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Sube el precio en </w:t>
      </w:r>
      <w:r w:rsidR="009B05CA" w:rsidRPr="003E157A">
        <w:rPr>
          <w:rFonts w:ascii="Open Sans Light" w:hAnsi="Open Sans Light"/>
          <w:b/>
          <w:bCs/>
          <w:color w:val="404040" w:themeColor="text1" w:themeTint="BF"/>
          <w:lang w:val="es-ES"/>
        </w:rPr>
        <w:t>cinco</w:t>
      </w:r>
      <w:r w:rsidRPr="003E157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distritos de Barcelona y en </w:t>
      </w:r>
      <w:r w:rsidR="003E157A" w:rsidRPr="003E157A">
        <w:rPr>
          <w:rFonts w:ascii="Open Sans Light" w:hAnsi="Open Sans Light"/>
          <w:b/>
          <w:bCs/>
          <w:color w:val="404040" w:themeColor="text1" w:themeTint="BF"/>
          <w:lang w:val="es-ES"/>
        </w:rPr>
        <w:t>13</w:t>
      </w:r>
      <w:r w:rsidRPr="003E157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 Madrid</w:t>
      </w:r>
    </w:p>
    <w:p w:rsidR="00761765" w:rsidRDefault="00761765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761765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>M</w:t>
      </w:r>
      <w:r w:rsidR="0052608C"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adrid, </w:t>
      </w:r>
      <w:r w:rsidR="002D49CF">
        <w:rPr>
          <w:rFonts w:ascii="Open Sans Light" w:hAnsi="Open Sans Light"/>
          <w:b/>
          <w:color w:val="7F7F7F" w:themeColor="text1" w:themeTint="80"/>
          <w:lang w:val="es-ES"/>
        </w:rPr>
        <w:t>13 de marzo</w:t>
      </w:r>
      <w:r w:rsidR="009570C4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E8753C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El precio medio de la vivienda de segunda mano en España se sitúa en </w:t>
      </w:r>
      <w:r w:rsidR="00924360">
        <w:rPr>
          <w:rFonts w:ascii="Open Sans Light" w:hAnsi="Open Sans Light"/>
          <w:color w:val="404040" w:themeColor="text1" w:themeTint="BF"/>
          <w:lang w:val="es-ES"/>
        </w:rPr>
        <w:t>febrero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en 1.74</w:t>
      </w:r>
      <w:r w:rsidR="00924360">
        <w:rPr>
          <w:rFonts w:ascii="Open Sans Light" w:hAnsi="Open Sans Light"/>
          <w:color w:val="404040" w:themeColor="text1" w:themeTint="BF"/>
          <w:lang w:val="es-ES"/>
        </w:rPr>
        <w:t>7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 y se incrementa un 0,</w:t>
      </w:r>
      <w:r w:rsidR="00924360">
        <w:rPr>
          <w:rFonts w:ascii="Open Sans Light" w:hAnsi="Open Sans Light"/>
          <w:color w:val="404040" w:themeColor="text1" w:themeTint="BF"/>
          <w:lang w:val="es-ES"/>
        </w:rPr>
        <w:t>3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respecto al mes de </w:t>
      </w:r>
      <w:r w:rsidR="00924360">
        <w:rPr>
          <w:rFonts w:ascii="Open Sans Light" w:hAnsi="Open Sans Light"/>
          <w:color w:val="404040" w:themeColor="text1" w:themeTint="BF"/>
          <w:lang w:val="es-ES"/>
        </w:rPr>
        <w:t>enero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, según datos del portal inmobiliario </w:t>
      </w:r>
      <w:hyperlink r:id="rId10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9570C4">
        <w:rPr>
          <w:rFonts w:ascii="Open Sans Light" w:hAnsi="Open Sans Light"/>
          <w:color w:val="404040" w:themeColor="text1" w:themeTint="BF"/>
          <w:lang w:val="es-ES"/>
        </w:rPr>
        <w:t>. Este dato muestra, una vez más, que el precio de la vivienda de segunda mano fluctúa poco mes a mes y muestra que el pre</w:t>
      </w:r>
      <w:r w:rsidR="00924360">
        <w:rPr>
          <w:rFonts w:ascii="Open Sans Light" w:hAnsi="Open Sans Light"/>
          <w:color w:val="404040" w:themeColor="text1" w:themeTint="BF"/>
          <w:lang w:val="es-ES"/>
        </w:rPr>
        <w:t>cio tiende a la estabilización.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46A6E" w:rsidRDefault="009570C4" w:rsidP="00D46A6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Respecto a la variación interanual, en </w:t>
      </w:r>
      <w:r w:rsidR="004D662C">
        <w:rPr>
          <w:rFonts w:ascii="Open Sans Light" w:hAnsi="Open Sans Light"/>
          <w:color w:val="404040" w:themeColor="text1" w:themeTint="BF"/>
          <w:lang w:val="es-ES"/>
        </w:rPr>
        <w:t>febrero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2018 el precio de la vivi</w:t>
      </w:r>
      <w:r w:rsidR="004D662C">
        <w:rPr>
          <w:rFonts w:ascii="Open Sans Light" w:hAnsi="Open Sans Light"/>
          <w:color w:val="404040" w:themeColor="text1" w:themeTint="BF"/>
          <w:lang w:val="es-ES"/>
        </w:rPr>
        <w:t>enda de segunda mano sube un 5,1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>% y encadena 1</w:t>
      </w:r>
      <w:r w:rsidR="00E4444B">
        <w:rPr>
          <w:rFonts w:ascii="Open Sans Light" w:hAnsi="Open Sans Light"/>
          <w:color w:val="404040" w:themeColor="text1" w:themeTint="BF"/>
          <w:lang w:val="es-ES"/>
        </w:rPr>
        <w:t>7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meses de subidas interanuales consecutivas. </w:t>
      </w:r>
    </w:p>
    <w:p w:rsidR="00D46A6E" w:rsidRDefault="00D46A6E" w:rsidP="00D46A6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Default="00D46A6E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“El mercado inmobiliario sigue dando señales claras de recuperación y eso se traslada a los precios con </w:t>
      </w:r>
      <w:r w:rsidR="00761765">
        <w:rPr>
          <w:rFonts w:ascii="Open Sans Light" w:hAnsi="Open Sans Light"/>
          <w:color w:val="404040" w:themeColor="text1" w:themeTint="BF"/>
          <w:lang w:val="es-ES"/>
        </w:rPr>
        <w:t>incrementos</w:t>
      </w:r>
      <w:r>
        <w:rPr>
          <w:rFonts w:ascii="Open Sans Light" w:hAnsi="Open Sans Light"/>
          <w:color w:val="404040" w:themeColor="text1" w:themeTint="BF"/>
        </w:rPr>
        <w:t xml:space="preserve"> que no veíamos desde 2007. Las subidas se van </w:t>
      </w:r>
      <w:r w:rsidRPr="00761765">
        <w:rPr>
          <w:rFonts w:ascii="Open Sans Light" w:hAnsi="Open Sans Light"/>
          <w:color w:val="404040" w:themeColor="text1" w:themeTint="BF"/>
        </w:rPr>
        <w:t>extendiendo a casi todo el país, aunque son mucho más intensas en las zonas que son polos económicos, demográficos y turísticos”</w:t>
      </w:r>
      <w:r w:rsidR="00761765" w:rsidRPr="00761765">
        <w:rPr>
          <w:rFonts w:ascii="Open Sans Light" w:hAnsi="Open Sans Light"/>
          <w:color w:val="404040" w:themeColor="text1" w:themeTint="BF"/>
          <w:lang w:val="es-ES"/>
        </w:rPr>
        <w:t>,</w:t>
      </w:r>
      <w:r w:rsidRPr="00761765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="009570C4" w:rsidRPr="00761765">
        <w:rPr>
          <w:rFonts w:ascii="Open Sans Light" w:hAnsi="Open Sans Light"/>
          <w:color w:val="404040" w:themeColor="text1" w:themeTint="BF"/>
          <w:lang w:val="es-ES"/>
        </w:rPr>
        <w:t xml:space="preserve">explica Beatriz Toribio, directora de Estudios de </w:t>
      </w:r>
      <w:hyperlink r:id="rId11" w:history="1">
        <w:proofErr w:type="spellStart"/>
        <w:r w:rsidR="009570C4" w:rsidRPr="00761765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9570C4" w:rsidRPr="00761765">
        <w:rPr>
          <w:rFonts w:ascii="Open Sans Light" w:hAnsi="Open Sans Light"/>
          <w:color w:val="404040" w:themeColor="text1" w:themeTint="BF"/>
          <w:lang w:val="es-ES"/>
        </w:rPr>
        <w:t>.</w:t>
      </w:r>
      <w:r w:rsidR="009570C4" w:rsidRPr="009570C4">
        <w:rPr>
          <w:rFonts w:ascii="Open Sans Light" w:hAnsi="Open Sans Light"/>
          <w:color w:val="404040" w:themeColor="text1" w:themeTint="BF"/>
          <w:lang w:val="es-ES"/>
        </w:rPr>
        <w:t xml:space="preserve"> </w:t>
      </w:r>
    </w:p>
    <w:p w:rsidR="00761765" w:rsidRPr="009570C4" w:rsidRDefault="00761765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4444B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>El precio medio de la vivienda de segunda mano en España acumula una caída de -4</w:t>
      </w:r>
      <w:r w:rsidR="00E4444B">
        <w:rPr>
          <w:rFonts w:ascii="Open Sans Light" w:hAnsi="Open Sans Light"/>
          <w:color w:val="404040" w:themeColor="text1" w:themeTint="BF"/>
          <w:lang w:val="es-ES"/>
        </w:rPr>
        <w:t>0,8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desde que registrara su máximo histórico en abril de 2007 con 2.952 €/m2. En este sentido, nueve comunidades autónomas cuentan con caídas superiores al -40% desde que alcanzaron el precio máximo hace nueve años. La comunidad que </w:t>
      </w:r>
      <w:r w:rsidRPr="009570C4">
        <w:rPr>
          <w:rFonts w:ascii="Open Sans Light" w:hAnsi="Open Sans Light"/>
          <w:color w:val="404040" w:themeColor="text1" w:themeTint="BF"/>
          <w:lang w:val="es-ES"/>
        </w:rPr>
        <w:lastRenderedPageBreak/>
        <w:t>más ha visto caer los precios es La Rioja (-55,</w:t>
      </w:r>
      <w:r w:rsidR="00E4444B">
        <w:rPr>
          <w:rFonts w:ascii="Open Sans Light" w:hAnsi="Open Sans Light"/>
          <w:color w:val="404040" w:themeColor="text1" w:themeTint="BF"/>
          <w:lang w:val="es-ES"/>
        </w:rPr>
        <w:t>4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>%), seguido de Navarra (-53,8%), Castilla-La Mancha (-5</w:t>
      </w:r>
      <w:r w:rsidR="00E4444B">
        <w:rPr>
          <w:rFonts w:ascii="Open Sans Light" w:hAnsi="Open Sans Light"/>
          <w:color w:val="404040" w:themeColor="text1" w:themeTint="BF"/>
          <w:lang w:val="es-ES"/>
        </w:rPr>
        <w:t>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>,9%), Aragón (-50,</w:t>
      </w:r>
      <w:r w:rsidR="00E4444B">
        <w:rPr>
          <w:rFonts w:ascii="Open Sans Light" w:hAnsi="Open Sans Light"/>
          <w:color w:val="404040" w:themeColor="text1" w:themeTint="BF"/>
          <w:lang w:val="es-ES"/>
        </w:rPr>
        <w:t>5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%), Murcia (-49,4%), </w:t>
      </w:r>
      <w:r w:rsidR="00E4444B">
        <w:rPr>
          <w:rFonts w:ascii="Open Sans Light" w:hAnsi="Open Sans Light"/>
          <w:color w:val="404040" w:themeColor="text1" w:themeTint="BF"/>
          <w:lang w:val="es-ES"/>
        </w:rPr>
        <w:t xml:space="preserve">la </w:t>
      </w:r>
      <w:proofErr w:type="spellStart"/>
      <w:r w:rsidR="00E4444B">
        <w:rPr>
          <w:rFonts w:ascii="Open Sans Light" w:hAnsi="Open Sans Light"/>
          <w:color w:val="404040" w:themeColor="text1" w:themeTint="BF"/>
          <w:lang w:val="es-ES"/>
        </w:rPr>
        <w:t>Comunitat</w:t>
      </w:r>
      <w:proofErr w:type="spellEnd"/>
      <w:r w:rsidR="00E4444B">
        <w:rPr>
          <w:rFonts w:ascii="Open Sans Light" w:hAnsi="Open Sans Light"/>
          <w:color w:val="404040" w:themeColor="text1" w:themeTint="BF"/>
          <w:lang w:val="es-ES"/>
        </w:rPr>
        <w:t xml:space="preserve"> Valenciana (-46,9%), Asturias (-46,9%), Cantabria (-44,3%) y Extremadura (-41,6%).</w:t>
      </w:r>
    </w:p>
    <w:p w:rsidR="00E4444B" w:rsidRDefault="00E4444B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4444B" w:rsidRDefault="00E4444B" w:rsidP="00C013FA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p w:rsidR="00C013FA" w:rsidRDefault="00C013FA" w:rsidP="00C013FA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C013FA">
        <w:rPr>
          <w:rFonts w:ascii="Open Sans Light" w:hAnsi="Open Sans Light"/>
          <w:b/>
          <w:color w:val="00AAAB"/>
          <w:sz w:val="28"/>
          <w:szCs w:val="28"/>
          <w:lang w:val="es-ES"/>
        </w:rPr>
        <w:t>Ranking del precio medio de la vivienda por CC.AA</w:t>
      </w:r>
    </w:p>
    <w:p w:rsidR="009570C4" w:rsidRDefault="009570C4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E4444B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5CFFA7D0" wp14:editId="62808730">
            <wp:extent cx="5534025" cy="30003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901EA6" w:rsidRDefault="00C013FA" w:rsidP="00901EA6">
      <w:pPr>
        <w:ind w:left="-1134"/>
        <w:rPr>
          <w:rFonts w:ascii="Open Sans" w:hAnsi="Open Sans"/>
          <w:color w:val="00AAAB"/>
          <w:lang w:val="es-ES"/>
        </w:rPr>
      </w:pPr>
      <w:r w:rsidRPr="00107E70">
        <w:rPr>
          <w:rFonts w:ascii="Open Sans" w:hAnsi="Open Sans"/>
          <w:color w:val="00AAAB"/>
          <w:lang w:val="es-ES"/>
        </w:rPr>
        <w:t xml:space="preserve">El precio se incrementa en </w:t>
      </w:r>
      <w:r w:rsidR="009570C4" w:rsidRPr="00107E70">
        <w:rPr>
          <w:rFonts w:ascii="Open Sans" w:hAnsi="Open Sans"/>
          <w:color w:val="00AAAB"/>
          <w:lang w:val="es-ES"/>
        </w:rPr>
        <w:t>seis</w:t>
      </w:r>
      <w:r w:rsidRPr="00107E70">
        <w:rPr>
          <w:rFonts w:ascii="Open Sans" w:hAnsi="Open Sans"/>
          <w:color w:val="00AAAB"/>
          <w:lang w:val="es-ES"/>
        </w:rPr>
        <w:t xml:space="preserve"> comunidades autónomas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07E70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De las 17 comunidades autónomas, en </w:t>
      </w:r>
      <w:r w:rsidR="00107E70">
        <w:rPr>
          <w:rFonts w:ascii="Open Sans Light" w:hAnsi="Open Sans Light"/>
          <w:color w:val="404040" w:themeColor="text1" w:themeTint="BF"/>
          <w:lang w:val="es-ES"/>
        </w:rPr>
        <w:t>febrero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el precio medio de la vivienda de segunda mano sube en </w:t>
      </w:r>
      <w:r w:rsidR="00107E70">
        <w:rPr>
          <w:rFonts w:ascii="Open Sans Light" w:hAnsi="Open Sans Light"/>
          <w:color w:val="404040" w:themeColor="text1" w:themeTint="BF"/>
          <w:lang w:val="es-ES"/>
        </w:rPr>
        <w:t>11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ellas. El incremento más acusado se produce en</w:t>
      </w:r>
      <w:r w:rsidR="00107E70">
        <w:rPr>
          <w:rFonts w:ascii="Open Sans Light" w:hAnsi="Open Sans Light"/>
          <w:color w:val="404040" w:themeColor="text1" w:themeTint="BF"/>
          <w:lang w:val="es-ES"/>
        </w:rPr>
        <w:t xml:space="preserve"> Cataluña (1,9%), seguido de Madrid (1,1%), La Rioja (0,8%), Canarias y Galicia, ambos incrementan un 0,7%, y Extremadura (0,6%). 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07E70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En el otro extremo, </w:t>
      </w:r>
      <w:r w:rsidR="00107E70">
        <w:rPr>
          <w:rFonts w:ascii="Open Sans Light" w:hAnsi="Open Sans Light"/>
          <w:color w:val="404040" w:themeColor="text1" w:themeTint="BF"/>
          <w:lang w:val="es-ES"/>
        </w:rPr>
        <w:t xml:space="preserve">la </w:t>
      </w:r>
      <w:proofErr w:type="spellStart"/>
      <w:r w:rsidR="00107E70">
        <w:rPr>
          <w:rFonts w:ascii="Open Sans Light" w:hAnsi="Open Sans Light"/>
          <w:color w:val="404040" w:themeColor="text1" w:themeTint="BF"/>
          <w:lang w:val="es-ES"/>
        </w:rPr>
        <w:t>Comunitat</w:t>
      </w:r>
      <w:proofErr w:type="spellEnd"/>
      <w:r w:rsidR="00107E70">
        <w:rPr>
          <w:rFonts w:ascii="Open Sans Light" w:hAnsi="Open Sans Light"/>
          <w:color w:val="404040" w:themeColor="text1" w:themeTint="BF"/>
          <w:lang w:val="es-ES"/>
        </w:rPr>
        <w:t xml:space="preserve"> Valenciana es la que más ve caer los precios, en concreto un -2,6%, seguido de Castilla-La Mancha (-2%), Castilla y León y Aragón, ambos caen un -0,2%</w:t>
      </w:r>
      <w:r w:rsidR="00C55A00">
        <w:rPr>
          <w:rFonts w:ascii="Open Sans Light" w:hAnsi="Open Sans Light"/>
          <w:color w:val="404040" w:themeColor="text1" w:themeTint="BF"/>
          <w:lang w:val="es-ES"/>
        </w:rPr>
        <w:t xml:space="preserve">. Por su parte, Navarra y País Vasco se mantienen estables respecto a enero. </w:t>
      </w:r>
    </w:p>
    <w:p w:rsidR="009570C4" w:rsidRPr="009570C4" w:rsidRDefault="009570C4" w:rsidP="00C55A00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44DA2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>En cuanto a los precios, el País Vasco sigue siendo la comunidad más cara de España, con un precio medio de 2.74</w:t>
      </w:r>
      <w:r w:rsidR="00C55A00">
        <w:rPr>
          <w:rFonts w:ascii="Open Sans Light" w:hAnsi="Open Sans Light"/>
          <w:color w:val="404040" w:themeColor="text1" w:themeTint="BF"/>
          <w:lang w:val="es-ES"/>
        </w:rPr>
        <w:t>5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€/m2, seguida de Madrid (2.4</w:t>
      </w:r>
      <w:r w:rsidR="00C55A00">
        <w:rPr>
          <w:rFonts w:ascii="Open Sans Light" w:hAnsi="Open Sans Light"/>
          <w:color w:val="404040" w:themeColor="text1" w:themeTint="BF"/>
          <w:lang w:val="es-ES"/>
        </w:rPr>
        <w:t>74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 y Cataluña (2.3</w:t>
      </w:r>
      <w:r w:rsidR="00C55A00">
        <w:rPr>
          <w:rFonts w:ascii="Open Sans Light" w:hAnsi="Open Sans Light"/>
          <w:color w:val="404040" w:themeColor="text1" w:themeTint="BF"/>
          <w:lang w:val="es-ES"/>
        </w:rPr>
        <w:t>65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€/m2). Por el contrario, Castilla-La Mancha (1.0</w:t>
      </w:r>
      <w:r w:rsidR="00C55A00">
        <w:rPr>
          <w:rFonts w:ascii="Open Sans Light" w:hAnsi="Open Sans Light"/>
          <w:color w:val="404040" w:themeColor="text1" w:themeTint="BF"/>
          <w:lang w:val="es-ES"/>
        </w:rPr>
        <w:t>66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€/m2), Extremadura (1.09</w:t>
      </w:r>
      <w:r w:rsidR="00C55A00">
        <w:rPr>
          <w:rFonts w:ascii="Open Sans Light" w:hAnsi="Open Sans Light"/>
          <w:color w:val="404040" w:themeColor="text1" w:themeTint="BF"/>
          <w:lang w:val="es-ES"/>
        </w:rPr>
        <w:t>8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 y Murcia (1.16</w:t>
      </w:r>
      <w:r w:rsidR="00C55A00">
        <w:rPr>
          <w:rFonts w:ascii="Open Sans Light" w:hAnsi="Open Sans Light"/>
          <w:color w:val="404040" w:themeColor="text1" w:themeTint="BF"/>
          <w:lang w:val="es-ES"/>
        </w:rPr>
        <w:t>3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 son las comunidades con los precios de la vivienda de segunda mano más asequibles.</w:t>
      </w:r>
    </w:p>
    <w:p w:rsid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Default="00E36A54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901EA6">
        <w:rPr>
          <w:rFonts w:ascii="Open Sans Light" w:hAnsi="Open Sans Light"/>
          <w:b/>
          <w:color w:val="00AAAB"/>
          <w:sz w:val="28"/>
          <w:szCs w:val="28"/>
          <w:lang w:val="es-ES"/>
        </w:rPr>
        <w:lastRenderedPageBreak/>
        <w:t>Precio medio de la vivienda por CC.AA y variaciones</w:t>
      </w:r>
    </w:p>
    <w:p w:rsidR="00832519" w:rsidRPr="00901EA6" w:rsidRDefault="00832519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decuadrcula5oscura-nfasis1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701"/>
        <w:gridCol w:w="1559"/>
      </w:tblGrid>
      <w:tr w:rsidR="00901EA6" w:rsidTr="008A3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01EA6" w:rsidRPr="005A301B" w:rsidRDefault="00901EA6" w:rsidP="00CD7EC9">
            <w:r w:rsidRPr="005A301B">
              <w:t>CC.AA.</w:t>
            </w:r>
          </w:p>
        </w:tc>
        <w:tc>
          <w:tcPr>
            <w:tcW w:w="1842" w:type="dxa"/>
          </w:tcPr>
          <w:p w:rsidR="00901EA6" w:rsidRPr="005A301B" w:rsidRDefault="00C55A00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Febrero</w:t>
            </w:r>
            <w:r w:rsidR="009570C4">
              <w:t xml:space="preserve"> 2018</w:t>
            </w:r>
          </w:p>
        </w:tc>
        <w:tc>
          <w:tcPr>
            <w:tcW w:w="1276" w:type="dxa"/>
          </w:tcPr>
          <w:p w:rsidR="00901EA6" w:rsidRPr="005A301B" w:rsidRDefault="00901EA6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701" w:type="dxa"/>
          </w:tcPr>
          <w:p w:rsidR="00901EA6" w:rsidRPr="005A301B" w:rsidRDefault="00FD3B7B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559" w:type="dxa"/>
          </w:tcPr>
          <w:p w:rsidR="00901EA6" w:rsidRPr="005A301B" w:rsidRDefault="00616732" w:rsidP="00832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País Vasco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2.745 €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0,0 %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1,5 %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-37,5%</w:t>
            </w:r>
          </w:p>
        </w:tc>
      </w:tr>
      <w:tr w:rsidR="00C55A00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Madrid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2.474 €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1,1 %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9,8 %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-37,7%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Cataluña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2.365 €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1,9 %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10,9 %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-38,8%</w:t>
            </w:r>
          </w:p>
        </w:tc>
      </w:tr>
      <w:tr w:rsidR="00C55A00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Baleares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2.321 €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14,3 %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-16,0%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Cantabria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1.596 €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-3,9 %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-44,3%</w:t>
            </w:r>
          </w:p>
        </w:tc>
      </w:tr>
      <w:tr w:rsidR="00C55A00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Galicia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1.582 €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0,7 %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-1,9 %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-33,6%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Navarra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1.568 €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0,0 %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-2,6 %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-53,8%</w:t>
            </w:r>
          </w:p>
        </w:tc>
      </w:tr>
      <w:tr w:rsidR="00C55A00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Asturias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1.559 €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0,3 %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-46,9%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Andalucía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1.542 €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0,2 %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3,7 %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-38,5%</w:t>
            </w:r>
          </w:p>
        </w:tc>
      </w:tr>
      <w:tr w:rsidR="00C55A00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Aragón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1.536 €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-0,2 %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3,6 %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-50,5%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Canarias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1.525 €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0,7 %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8,9 %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-29,2%</w:t>
            </w:r>
          </w:p>
        </w:tc>
      </w:tr>
      <w:tr w:rsidR="00C55A00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Castilla y León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1.443 €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-0,2 %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-0,6 %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-37,1%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La Rioja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1.326 €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0,8 %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4,0 %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-55,4%</w:t>
            </w:r>
          </w:p>
        </w:tc>
      </w:tr>
      <w:tr w:rsidR="00C55A00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55A00">
              <w:rPr>
                <w:rFonts w:ascii="Calibri" w:hAnsi="Calibri"/>
                <w:sz w:val="28"/>
                <w:szCs w:val="28"/>
              </w:rPr>
              <w:t>Comunitat</w:t>
            </w:r>
            <w:proofErr w:type="spellEnd"/>
            <w:r w:rsidRPr="00C55A00">
              <w:rPr>
                <w:rFonts w:ascii="Calibri" w:hAnsi="Calibri"/>
                <w:sz w:val="28"/>
                <w:szCs w:val="28"/>
              </w:rPr>
              <w:t xml:space="preserve"> Valenciana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1.290 €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-2,6 %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-1,1 %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-46,9%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Región de Murcia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1.163 €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2,9 %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-49,4%</w:t>
            </w:r>
          </w:p>
        </w:tc>
      </w:tr>
      <w:tr w:rsidR="00C55A00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Extremadura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1.098 €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0,6 %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-0,1 %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-41,6%</w:t>
            </w:r>
          </w:p>
        </w:tc>
      </w:tr>
      <w:tr w:rsidR="00C55A00" w:rsidTr="008A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C55A00" w:rsidRPr="00C55A00" w:rsidRDefault="00C55A00" w:rsidP="00C55A0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C55A00">
              <w:rPr>
                <w:rFonts w:ascii="Calibri" w:hAnsi="Calibri"/>
                <w:sz w:val="28"/>
                <w:szCs w:val="28"/>
              </w:rPr>
              <w:t>Castilla-La Mancha</w:t>
            </w:r>
          </w:p>
        </w:tc>
        <w:tc>
          <w:tcPr>
            <w:tcW w:w="1842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1.066 €</w:t>
            </w:r>
          </w:p>
        </w:tc>
        <w:tc>
          <w:tcPr>
            <w:tcW w:w="1276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-2,0 %</w:t>
            </w:r>
          </w:p>
        </w:tc>
        <w:tc>
          <w:tcPr>
            <w:tcW w:w="1701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000000"/>
                <w:sz w:val="28"/>
                <w:szCs w:val="28"/>
              </w:rPr>
              <w:t>2,4 %</w:t>
            </w:r>
          </w:p>
        </w:tc>
        <w:tc>
          <w:tcPr>
            <w:tcW w:w="1559" w:type="dxa"/>
            <w:vAlign w:val="bottom"/>
          </w:tcPr>
          <w:p w:rsidR="00C55A00" w:rsidRPr="00C55A00" w:rsidRDefault="00C55A00" w:rsidP="00C5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C55A00">
              <w:rPr>
                <w:rFonts w:ascii="Calibri" w:hAnsi="Calibri"/>
                <w:color w:val="FF0000"/>
                <w:sz w:val="28"/>
                <w:szCs w:val="28"/>
              </w:rPr>
              <w:t>-51,9%</w:t>
            </w:r>
          </w:p>
        </w:tc>
      </w:tr>
      <w:tr w:rsidR="00BA74D6" w:rsidTr="008A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BA74D6" w:rsidRPr="008A3C8D" w:rsidRDefault="008A3C8D" w:rsidP="008A3C8D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A3C8D">
              <w:rPr>
                <w:rFonts w:ascii="Calibri" w:hAnsi="Calibri"/>
                <w:sz w:val="28"/>
                <w:szCs w:val="28"/>
              </w:rPr>
              <w:t>España</w:t>
            </w:r>
          </w:p>
        </w:tc>
        <w:tc>
          <w:tcPr>
            <w:tcW w:w="1842" w:type="dxa"/>
            <w:vAlign w:val="bottom"/>
          </w:tcPr>
          <w:p w:rsidR="00BA74D6" w:rsidRPr="009570C4" w:rsidRDefault="008A3C8D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1.7</w:t>
            </w:r>
            <w:r w:rsidR="009570C4"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="00C55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276" w:type="dxa"/>
            <w:vAlign w:val="bottom"/>
          </w:tcPr>
          <w:p w:rsidR="00BA74D6" w:rsidRPr="009570C4" w:rsidRDefault="008A3C8D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</w:t>
            </w:r>
            <w:r w:rsidR="00C55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vAlign w:val="bottom"/>
          </w:tcPr>
          <w:p w:rsidR="00BA74D6" w:rsidRPr="009570C4" w:rsidRDefault="00C55A00" w:rsidP="00957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5,1</w:t>
            </w:r>
            <w:r w:rsidR="008A3C8D" w:rsidRPr="009570C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BA74D6" w:rsidRPr="009570C4" w:rsidRDefault="009570C4" w:rsidP="00C5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9570C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-4</w:t>
            </w:r>
            <w:r w:rsidR="00C55A0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0,8</w:t>
            </w:r>
            <w:r w:rsidR="008A3C8D" w:rsidRPr="009570C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</w:tbl>
    <w:p w:rsidR="00C013FA" w:rsidRDefault="00C013FA" w:rsidP="00D80E4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80E46" w:rsidRDefault="00D80E46" w:rsidP="00D80E4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Pr="00901EA6" w:rsidRDefault="00C55A00" w:rsidP="00901EA6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29</w:t>
      </w:r>
      <w:r w:rsidR="00E36A54" w:rsidRPr="00C747D5">
        <w:rPr>
          <w:rFonts w:ascii="Open Sans" w:hAnsi="Open Sans"/>
          <w:color w:val="00AAAB"/>
          <w:lang w:val="es-ES"/>
        </w:rPr>
        <w:t xml:space="preserve"> pr</w:t>
      </w:r>
      <w:r>
        <w:rPr>
          <w:rFonts w:ascii="Open Sans" w:hAnsi="Open Sans"/>
          <w:color w:val="00AAAB"/>
          <w:lang w:val="es-ES"/>
        </w:rPr>
        <w:t>ovincias incrementan el precio mensual</w:t>
      </w: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>En cuanto a la evolución del precio de la vivienda por provincias, en 2</w:t>
      </w:r>
      <w:r w:rsidR="007C4F99">
        <w:rPr>
          <w:rFonts w:ascii="Open Sans Light" w:hAnsi="Open Sans Light"/>
          <w:color w:val="404040" w:themeColor="text1" w:themeTint="BF"/>
          <w:lang w:val="es-ES"/>
        </w:rPr>
        <w:t>9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ellas se registran subidas de precios en términos mensuales, con incrementos que van del </w:t>
      </w:r>
      <w:r w:rsidR="007C4F99">
        <w:rPr>
          <w:rFonts w:ascii="Open Sans Light" w:hAnsi="Open Sans Light"/>
          <w:color w:val="404040" w:themeColor="text1" w:themeTint="BF"/>
          <w:lang w:val="es-ES"/>
        </w:rPr>
        <w:t>3,5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7C4F99">
        <w:rPr>
          <w:rFonts w:ascii="Open Sans Light" w:hAnsi="Open Sans Light"/>
          <w:color w:val="404040" w:themeColor="text1" w:themeTint="BF"/>
          <w:lang w:val="es-ES"/>
        </w:rPr>
        <w:t>Zamora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al 0,</w:t>
      </w:r>
      <w:r w:rsidR="007C4F99">
        <w:rPr>
          <w:rFonts w:ascii="Open Sans Light" w:hAnsi="Open Sans Light"/>
          <w:color w:val="404040" w:themeColor="text1" w:themeTint="BF"/>
          <w:lang w:val="es-ES"/>
        </w:rPr>
        <w:t>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7C4F99">
        <w:rPr>
          <w:rFonts w:ascii="Open Sans Light" w:hAnsi="Open Sans Light"/>
          <w:color w:val="404040" w:themeColor="text1" w:themeTint="BF"/>
          <w:lang w:val="es-ES"/>
        </w:rPr>
        <w:t>Córdoba, Baleares, Cantabria, Asturias y Murcia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Por el contrario, </w:t>
      </w:r>
      <w:r w:rsidR="007C4F99">
        <w:rPr>
          <w:rFonts w:ascii="Open Sans Light" w:hAnsi="Open Sans Light"/>
          <w:color w:val="404040" w:themeColor="text1" w:themeTint="BF"/>
          <w:lang w:val="es-ES"/>
        </w:rPr>
        <w:t>1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>9 provincias descienden el precio</w:t>
      </w:r>
      <w:r w:rsidR="007C4F99">
        <w:rPr>
          <w:rFonts w:ascii="Open Sans Light" w:hAnsi="Open Sans Light"/>
          <w:color w:val="404040" w:themeColor="text1" w:themeTint="BF"/>
          <w:lang w:val="es-ES"/>
        </w:rPr>
        <w:t xml:space="preserve"> de la vivienda de segunda mano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en </w:t>
      </w:r>
      <w:r w:rsidR="007C4F99">
        <w:rPr>
          <w:rFonts w:ascii="Open Sans Light" w:hAnsi="Open Sans Light"/>
          <w:color w:val="404040" w:themeColor="text1" w:themeTint="BF"/>
          <w:lang w:val="es-ES"/>
        </w:rPr>
        <w:t>febrero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Los descensos van del -0,1% de </w:t>
      </w:r>
      <w:r w:rsidR="007C4F99">
        <w:rPr>
          <w:rFonts w:ascii="Open Sans Light" w:hAnsi="Open Sans Light"/>
          <w:color w:val="404040" w:themeColor="text1" w:themeTint="BF"/>
          <w:lang w:val="es-ES"/>
        </w:rPr>
        <w:t>Lleida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al -4,</w:t>
      </w:r>
      <w:r w:rsidR="007C4F99">
        <w:rPr>
          <w:rFonts w:ascii="Open Sans Light" w:hAnsi="Open Sans Light"/>
          <w:color w:val="404040" w:themeColor="text1" w:themeTint="BF"/>
          <w:lang w:val="es-ES"/>
        </w:rPr>
        <w:t>3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7C4F99">
        <w:rPr>
          <w:rFonts w:ascii="Open Sans Light" w:hAnsi="Open Sans Light"/>
          <w:color w:val="404040" w:themeColor="text1" w:themeTint="BF"/>
          <w:lang w:val="es-ES"/>
        </w:rPr>
        <w:t>Alicante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. </w:t>
      </w:r>
    </w:p>
    <w:p w:rsidR="009570C4" w:rsidRP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B05CA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Del total de los </w:t>
      </w:r>
      <w:r w:rsidR="00A63382">
        <w:rPr>
          <w:rFonts w:ascii="Open Sans Light" w:hAnsi="Open Sans Light"/>
          <w:color w:val="404040" w:themeColor="text1" w:themeTint="BF"/>
          <w:lang w:val="es-ES"/>
        </w:rPr>
        <w:t>7</w:t>
      </w:r>
      <w:r w:rsidR="00D80E46">
        <w:rPr>
          <w:rFonts w:ascii="Open Sans Light" w:hAnsi="Open Sans Light"/>
          <w:color w:val="404040" w:themeColor="text1" w:themeTint="BF"/>
          <w:lang w:val="es-ES"/>
        </w:rPr>
        <w:t>22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de España analizados por </w:t>
      </w:r>
      <w:hyperlink r:id="rId13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, en </w:t>
      </w:r>
      <w:r w:rsidR="00D80E46">
        <w:rPr>
          <w:rFonts w:ascii="Open Sans Light" w:hAnsi="Open Sans Light"/>
          <w:color w:val="404040" w:themeColor="text1" w:themeTint="BF"/>
          <w:lang w:val="es-ES"/>
        </w:rPr>
        <w:t>349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el precio de la vivienda sube en el mes de </w:t>
      </w:r>
      <w:r w:rsidR="00D80E46">
        <w:rPr>
          <w:rFonts w:ascii="Open Sans Light" w:hAnsi="Open Sans Light"/>
          <w:color w:val="404040" w:themeColor="text1" w:themeTint="BF"/>
          <w:lang w:val="es-ES"/>
        </w:rPr>
        <w:t>febrero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, en </w:t>
      </w:r>
      <w:r w:rsidR="00D80E46">
        <w:rPr>
          <w:rFonts w:ascii="Open Sans Light" w:hAnsi="Open Sans Light"/>
          <w:color w:val="404040" w:themeColor="text1" w:themeTint="BF"/>
          <w:lang w:val="es-ES"/>
        </w:rPr>
        <w:t>20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municipios los precios permanecen estables y en </w:t>
      </w:r>
      <w:r w:rsidR="00D80E46">
        <w:rPr>
          <w:rFonts w:ascii="Open Sans Light" w:hAnsi="Open Sans Light"/>
          <w:color w:val="404040" w:themeColor="text1" w:themeTint="BF"/>
          <w:lang w:val="es-ES"/>
        </w:rPr>
        <w:t>353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se registran descensos en el precio. </w:t>
      </w:r>
    </w:p>
    <w:p w:rsidR="000C0A63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9570C4">
        <w:rPr>
          <w:rFonts w:ascii="Open Sans Light" w:hAnsi="Open Sans Light"/>
          <w:color w:val="404040" w:themeColor="text1" w:themeTint="BF"/>
          <w:lang w:val="es-ES"/>
        </w:rPr>
        <w:lastRenderedPageBreak/>
        <w:t>El municipio con el precio de la vivienda de segunda mano más elevado es San Sebastián (4.</w:t>
      </w:r>
      <w:r w:rsidR="009B05CA">
        <w:rPr>
          <w:rFonts w:ascii="Open Sans Light" w:hAnsi="Open Sans Light"/>
          <w:color w:val="404040" w:themeColor="text1" w:themeTint="BF"/>
          <w:lang w:val="es-ES"/>
        </w:rPr>
        <w:t>596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€/m2). Por su parte, </w:t>
      </w:r>
      <w:proofErr w:type="spellStart"/>
      <w:r w:rsidRPr="009570C4">
        <w:rPr>
          <w:rFonts w:ascii="Open Sans Light" w:hAnsi="Open Sans Light"/>
          <w:color w:val="404040" w:themeColor="text1" w:themeTint="BF"/>
          <w:lang w:val="es-ES"/>
        </w:rPr>
        <w:t>Benicull</w:t>
      </w:r>
      <w:proofErr w:type="spellEnd"/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de </w:t>
      </w:r>
      <w:proofErr w:type="spellStart"/>
      <w:r w:rsidRPr="009570C4">
        <w:rPr>
          <w:rFonts w:ascii="Open Sans Light" w:hAnsi="Open Sans Light"/>
          <w:color w:val="404040" w:themeColor="text1" w:themeTint="BF"/>
          <w:lang w:val="es-ES"/>
        </w:rPr>
        <w:t>Xúquer</w:t>
      </w:r>
      <w:proofErr w:type="spellEnd"/>
      <w:r w:rsidRPr="009570C4">
        <w:rPr>
          <w:rFonts w:ascii="Open Sans Light" w:hAnsi="Open Sans Light"/>
          <w:color w:val="404040" w:themeColor="text1" w:themeTint="BF"/>
          <w:lang w:val="es-ES"/>
        </w:rPr>
        <w:t>, en Valencia es la población española más barata, con un precio medio de 55</w:t>
      </w:r>
      <w:r w:rsidR="009B05CA">
        <w:rPr>
          <w:rFonts w:ascii="Open Sans Light" w:hAnsi="Open Sans Light"/>
          <w:color w:val="404040" w:themeColor="text1" w:themeTint="BF"/>
          <w:lang w:val="es-ES"/>
        </w:rPr>
        <w:t>7</w:t>
      </w:r>
      <w:r w:rsidRPr="009570C4">
        <w:rPr>
          <w:rFonts w:ascii="Open Sans Light" w:hAnsi="Open Sans Light"/>
          <w:color w:val="404040" w:themeColor="text1" w:themeTint="BF"/>
          <w:lang w:val="es-ES"/>
        </w:rPr>
        <w:t xml:space="preserve"> €/m2.</w:t>
      </w:r>
    </w:p>
    <w:p w:rsidR="009570C4" w:rsidRDefault="009570C4" w:rsidP="009570C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249D7" w:rsidRPr="00AB1B94" w:rsidRDefault="00EA2400" w:rsidP="00AB1B94">
      <w:pPr>
        <w:ind w:left="-1134"/>
        <w:rPr>
          <w:rFonts w:ascii="Open Sans" w:hAnsi="Open Sans"/>
          <w:color w:val="00AAAB"/>
          <w:lang w:val="es-ES"/>
        </w:rPr>
      </w:pPr>
      <w:r w:rsidRPr="00AB1B94">
        <w:rPr>
          <w:rFonts w:ascii="Open Sans" w:hAnsi="Open Sans"/>
          <w:color w:val="00AAAB"/>
          <w:lang w:val="es-ES"/>
        </w:rPr>
        <w:t xml:space="preserve">Incrementa el precio en </w:t>
      </w:r>
      <w:r w:rsidR="003E157A">
        <w:rPr>
          <w:rFonts w:ascii="Open Sans" w:hAnsi="Open Sans"/>
          <w:color w:val="00AAAB"/>
          <w:lang w:val="es-ES"/>
        </w:rPr>
        <w:t>13</w:t>
      </w:r>
      <w:r w:rsidRPr="00AB1B94">
        <w:rPr>
          <w:rFonts w:ascii="Open Sans" w:hAnsi="Open Sans"/>
          <w:color w:val="00AAAB"/>
          <w:lang w:val="es-ES"/>
        </w:rPr>
        <w:t xml:space="preserve"> distritos de Madrid y </w:t>
      </w:r>
      <w:r w:rsidR="00571D3F">
        <w:rPr>
          <w:rFonts w:ascii="Open Sans" w:hAnsi="Open Sans"/>
          <w:color w:val="00AAAB"/>
          <w:lang w:val="es-ES"/>
        </w:rPr>
        <w:t xml:space="preserve">en </w:t>
      </w:r>
      <w:r w:rsidR="009B05CA">
        <w:rPr>
          <w:rFonts w:ascii="Open Sans" w:hAnsi="Open Sans"/>
          <w:color w:val="00AAAB"/>
          <w:lang w:val="es-ES"/>
        </w:rPr>
        <w:t>cinco</w:t>
      </w:r>
      <w:r w:rsidR="00AB1B94" w:rsidRPr="00AB1B94">
        <w:rPr>
          <w:rFonts w:ascii="Open Sans" w:hAnsi="Open Sans"/>
          <w:color w:val="00AAAB"/>
          <w:lang w:val="es-ES"/>
        </w:rPr>
        <w:t xml:space="preserve"> </w:t>
      </w:r>
      <w:r w:rsidRPr="00AB1B94">
        <w:rPr>
          <w:rFonts w:ascii="Open Sans" w:hAnsi="Open Sans"/>
          <w:color w:val="00AAAB"/>
          <w:lang w:val="es-ES"/>
        </w:rPr>
        <w:t>de Barcelona</w:t>
      </w:r>
    </w:p>
    <w:p w:rsidR="00EA2400" w:rsidRDefault="00EA2400" w:rsidP="007E6DD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E157A" w:rsidRPr="00124EB3" w:rsidRDefault="00D95466" w:rsidP="003E157A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734AA0">
        <w:rPr>
          <w:rFonts w:ascii="Open Sans Light" w:hAnsi="Open Sans Light"/>
          <w:color w:val="000000" w:themeColor="text1"/>
          <w:lang w:val="es-ES"/>
        </w:rPr>
        <w:t xml:space="preserve">De los </w:t>
      </w:r>
      <w:r w:rsidRPr="00D95466">
        <w:rPr>
          <w:rFonts w:ascii="Open Sans Light" w:hAnsi="Open Sans Light"/>
          <w:b/>
          <w:bCs/>
          <w:color w:val="000000" w:themeColor="text1"/>
          <w:lang w:val="es-ES"/>
        </w:rPr>
        <w:t>21 distritos madrileños</w:t>
      </w:r>
      <w:r>
        <w:rPr>
          <w:rFonts w:ascii="Open Sans Light" w:hAnsi="Open Sans Light"/>
          <w:color w:val="000000" w:themeColor="text1"/>
          <w:lang w:val="es-ES"/>
        </w:rPr>
        <w:t xml:space="preserve"> </w:t>
      </w:r>
      <w:r w:rsidRPr="00734AA0">
        <w:rPr>
          <w:rFonts w:ascii="Open Sans Light" w:hAnsi="Open Sans Light"/>
          <w:color w:val="000000" w:themeColor="text1"/>
          <w:lang w:val="es-ES"/>
        </w:rPr>
        <w:t xml:space="preserve">analizados por </w:t>
      </w:r>
      <w:hyperlink r:id="rId14" w:history="1">
        <w:proofErr w:type="spellStart"/>
        <w:r w:rsidRPr="000C289D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734AA0">
        <w:rPr>
          <w:rFonts w:ascii="Open Sans Light" w:hAnsi="Open Sans Light"/>
          <w:color w:val="000000" w:themeColor="text1"/>
          <w:lang w:val="es-ES"/>
        </w:rPr>
        <w:t xml:space="preserve">, </w:t>
      </w:r>
      <w:r w:rsidR="003E157A" w:rsidRPr="00124EB3">
        <w:rPr>
          <w:rFonts w:ascii="Open Sans Light" w:hAnsi="Open Sans Light"/>
          <w:color w:val="000000" w:themeColor="text1"/>
          <w:lang w:val="es-ES"/>
        </w:rPr>
        <w:t xml:space="preserve">13 de ellos registran aumentos del precio en el mes de febrero. Tetuán y Moncloa son los distritos que registran un precio más alto con un 3,4% y 2,6% respectivamente. Por el contrario, Ciudad Lineal es el distrito que registra un mayor descenso en el mes de febrero, en concreto lo hace con un -1,3%. </w:t>
      </w:r>
    </w:p>
    <w:p w:rsidR="003E157A" w:rsidRPr="00124EB3" w:rsidRDefault="003E157A" w:rsidP="003E157A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3E157A" w:rsidRPr="00124EB3" w:rsidRDefault="003E157A" w:rsidP="003E157A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124EB3">
        <w:rPr>
          <w:rFonts w:ascii="Open Sans Light" w:hAnsi="Open Sans Light"/>
          <w:color w:val="000000" w:themeColor="text1"/>
          <w:lang w:val="es-ES"/>
        </w:rPr>
        <w:t xml:space="preserve">En cuanto a los distritos con mayor y menor precio, Salamanca es el distrito más caro de la capital para comprar una vivienda con un precio de 5.416€/m2. Le siguen Chamberí (4.992€/m2), Chamartín (4.71/m2) y Centro (4.707/m2). </w:t>
      </w:r>
    </w:p>
    <w:p w:rsidR="003E157A" w:rsidRPr="00124EB3" w:rsidRDefault="003E157A" w:rsidP="003E157A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3E157A" w:rsidRPr="00124EB3" w:rsidRDefault="003E157A" w:rsidP="003E157A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124EB3">
        <w:rPr>
          <w:rFonts w:ascii="Open Sans Light" w:hAnsi="Open Sans Light"/>
          <w:color w:val="000000" w:themeColor="text1"/>
          <w:lang w:val="es-ES"/>
        </w:rPr>
        <w:t>En el lado opuesto, Villaverde es el distrito más económico para adquirir una vivienda de segunda mano, con un precio medio de  1.590  €/m2.</w:t>
      </w:r>
    </w:p>
    <w:p w:rsidR="007F4F4B" w:rsidRDefault="007F4F4B" w:rsidP="003E157A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9B05CA" w:rsidRPr="00EB3D75" w:rsidRDefault="00571D3F" w:rsidP="009B05C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En la </w:t>
      </w:r>
      <w:r w:rsidRPr="00D95466">
        <w:rPr>
          <w:rFonts w:ascii="Open Sans Light" w:hAnsi="Open Sans Light"/>
          <w:b/>
          <w:bCs/>
          <w:color w:val="000000" w:themeColor="text1"/>
          <w:lang w:val="es-ES"/>
        </w:rPr>
        <w:t>ciudad de</w:t>
      </w:r>
      <w:r w:rsidRPr="00D9546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Barcelona</w:t>
      </w:r>
      <w:r w:rsidRPr="000C289D">
        <w:rPr>
          <w:rFonts w:ascii="Open Sans Light" w:hAnsi="Open Sans Light"/>
          <w:color w:val="404040" w:themeColor="text1" w:themeTint="BF"/>
          <w:lang w:val="es-ES"/>
        </w:rPr>
        <w:t xml:space="preserve">, </w:t>
      </w:r>
      <w:r w:rsidR="009B05CA" w:rsidRPr="00EB3D75">
        <w:rPr>
          <w:rFonts w:ascii="Open Sans Light" w:hAnsi="Open Sans Light"/>
          <w:color w:val="404040" w:themeColor="text1" w:themeTint="BF"/>
          <w:lang w:val="es-ES"/>
        </w:rPr>
        <w:t xml:space="preserve">cinco de los 10 distritos analizados por </w:t>
      </w:r>
      <w:hyperlink r:id="rId15" w:history="1">
        <w:proofErr w:type="spellStart"/>
        <w:r w:rsidR="009B05CA" w:rsidRPr="00EB3D75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9B05CA" w:rsidRPr="00EB3D75">
        <w:rPr>
          <w:rFonts w:ascii="Open Sans Light" w:hAnsi="Open Sans Light"/>
          <w:color w:val="404040" w:themeColor="text1" w:themeTint="BF"/>
          <w:lang w:val="es-ES"/>
        </w:rPr>
        <w:t xml:space="preserve"> incrementan el precio en febrero. El mayor ascenso se da en </w:t>
      </w:r>
      <w:proofErr w:type="spellStart"/>
      <w:r w:rsidR="009B05CA" w:rsidRPr="00EB3D75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="009B05CA" w:rsidRPr="00EB3D75">
        <w:rPr>
          <w:rFonts w:ascii="Open Sans Light" w:hAnsi="Open Sans Light"/>
          <w:color w:val="404040" w:themeColor="text1" w:themeTint="BF"/>
          <w:lang w:val="es-ES"/>
        </w:rPr>
        <w:t xml:space="preserve"> Andreu, con una subida del 1,7%. </w:t>
      </w:r>
      <w:proofErr w:type="spellStart"/>
      <w:r w:rsidR="009B05CA" w:rsidRPr="00EB3D75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="009B05CA" w:rsidRPr="00EB3D75">
        <w:rPr>
          <w:rFonts w:ascii="Open Sans Light" w:hAnsi="Open Sans Light"/>
          <w:color w:val="404040" w:themeColor="text1" w:themeTint="BF"/>
          <w:lang w:val="es-ES"/>
        </w:rPr>
        <w:t xml:space="preserve"> Martí es el distrito que ha sufrido un descenso mayor en el precio, con un 0,3%.</w:t>
      </w:r>
    </w:p>
    <w:p w:rsidR="007F4F4B" w:rsidRDefault="007F4F4B" w:rsidP="00F20CC1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D95466" w:rsidRDefault="00D95466" w:rsidP="00F20CC1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FF4250" w:rsidRPr="00B761DE" w:rsidRDefault="00FF4250" w:rsidP="00B761DE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>
        <w:rPr>
          <w:rFonts w:ascii="Open Sans Light" w:hAnsi="Open Sans Light"/>
          <w:b/>
          <w:color w:val="00AAAB"/>
          <w:lang w:val="es-ES"/>
        </w:rPr>
        <w:t>Precio medio de los distritos de Madrid y variación mensual e interanual</w:t>
      </w:r>
    </w:p>
    <w:p w:rsidR="00FF4250" w:rsidRPr="00AA6253" w:rsidRDefault="00FF4250" w:rsidP="00FF4250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764" w:type="dxa"/>
        <w:tblLook w:val="04A0" w:firstRow="1" w:lastRow="0" w:firstColumn="1" w:lastColumn="0" w:noHBand="0" w:noVBand="1"/>
      </w:tblPr>
      <w:tblGrid>
        <w:gridCol w:w="2240"/>
        <w:gridCol w:w="2551"/>
        <w:gridCol w:w="2410"/>
      </w:tblGrid>
      <w:tr w:rsidR="003E157A" w:rsidRPr="00124EB3" w:rsidTr="0024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3E157A" w:rsidRPr="00124EB3" w:rsidRDefault="003E157A" w:rsidP="002406BF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124EB3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3E157A" w:rsidRPr="00124EB3" w:rsidRDefault="003E157A" w:rsidP="002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124EB3">
              <w:rPr>
                <w:rFonts w:ascii="Open Sans Light" w:hAnsi="Open Sans Light"/>
                <w:lang w:val="es-ES"/>
              </w:rPr>
              <w:t>Variación</w:t>
            </w:r>
          </w:p>
          <w:p w:rsidR="003E157A" w:rsidRPr="00124EB3" w:rsidRDefault="003E157A" w:rsidP="002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124EB3">
              <w:rPr>
                <w:rFonts w:ascii="Open Sans Light" w:hAnsi="Open Sans Light"/>
                <w:lang w:val="es-ES"/>
              </w:rPr>
              <w:t>mensual</w:t>
            </w:r>
            <w:proofErr w:type="gramEnd"/>
            <w:r w:rsidRPr="00124EB3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3E157A" w:rsidRPr="00124EB3" w:rsidRDefault="003E157A" w:rsidP="002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124EB3">
              <w:rPr>
                <w:rFonts w:ascii="Open Sans Light" w:hAnsi="Open Sans Light"/>
                <w:lang w:val="es-ES"/>
              </w:rPr>
              <w:t>Febrero 2018</w:t>
            </w:r>
            <w:r w:rsidRPr="00124EB3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Tetuán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3,4 %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3.504 €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Moncloa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2,6 %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4.185 €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2,5 %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1.715 €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2,1 %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3.045 €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Retiro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1,6 %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4.233 €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Chamberí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1,5 %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4.992 €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proofErr w:type="spellStart"/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Hortaleza</w:t>
            </w:r>
            <w:proofErr w:type="spellEnd"/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1,2 %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3.366 €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1,1 %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2.236 €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proofErr w:type="spellStart"/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Vicálvaro</w:t>
            </w:r>
            <w:proofErr w:type="spellEnd"/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0,6 %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2.006 €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proofErr w:type="spellStart"/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Arganzuela</w:t>
            </w:r>
            <w:proofErr w:type="spellEnd"/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0,5 %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3.691 €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Fuencarral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0,5 %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3.302 €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Chamartín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0,2 %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4.771 €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0,1 %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4.707 €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lastRenderedPageBreak/>
              <w:t>Usera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0,0 %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1.805 €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Ciudad Lineal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-1,3 %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2.752 €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San Blas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-0,6 %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2.448 €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Latina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-0,6 %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2.152 €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proofErr w:type="spellStart"/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Moratalaz</w:t>
            </w:r>
            <w:proofErr w:type="spellEnd"/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-0,5 %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2.332 €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Villaverde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-0,4 %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1.590 € </w:t>
            </w:r>
          </w:p>
        </w:tc>
      </w:tr>
      <w:tr w:rsidR="003E157A" w:rsidRPr="00124EB3" w:rsidTr="0024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-0,3 %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1.963 € </w:t>
            </w:r>
          </w:p>
        </w:tc>
      </w:tr>
      <w:tr w:rsidR="003E157A" w:rsidRPr="00124EB3" w:rsidTr="0024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3E157A" w:rsidRPr="00124EB3" w:rsidRDefault="003E157A" w:rsidP="002406BF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sz w:val="22"/>
                <w:szCs w:val="22"/>
                <w:lang w:val="es-ES"/>
              </w:rPr>
              <w:t>Salamanca</w:t>
            </w:r>
          </w:p>
        </w:tc>
        <w:tc>
          <w:tcPr>
            <w:tcW w:w="2551" w:type="dxa"/>
            <w:vAlign w:val="bottom"/>
          </w:tcPr>
          <w:p w:rsidR="003E157A" w:rsidRPr="00124EB3" w:rsidRDefault="003E157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-0,2 %</w:t>
            </w:r>
          </w:p>
        </w:tc>
        <w:tc>
          <w:tcPr>
            <w:tcW w:w="2410" w:type="dxa"/>
            <w:vAlign w:val="bottom"/>
          </w:tcPr>
          <w:p w:rsidR="003E157A" w:rsidRPr="00124EB3" w:rsidRDefault="003E157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24EB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5.416 € </w:t>
            </w:r>
          </w:p>
        </w:tc>
      </w:tr>
    </w:tbl>
    <w:p w:rsidR="00D474FD" w:rsidRDefault="00D474FD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3E157A" w:rsidRDefault="003E157A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9B05CA" w:rsidRPr="00EB3D75" w:rsidRDefault="009B05CA" w:rsidP="009B05CA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  <w:r w:rsidRPr="00EB3D75">
        <w:rPr>
          <w:rFonts w:ascii="Open Sans Light" w:hAnsi="Open Sans Light"/>
          <w:b/>
          <w:color w:val="00AAAB"/>
          <w:lang w:val="es-ES"/>
        </w:rPr>
        <w:t>Distritos con mayor y menor descenso mensual en el precio de la vivienda</w:t>
      </w:r>
    </w:p>
    <w:p w:rsidR="009B05CA" w:rsidRPr="00EB3D75" w:rsidRDefault="009B05CA" w:rsidP="009B05CA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021" w:type="dxa"/>
        <w:tblLook w:val="04A0" w:firstRow="1" w:lastRow="0" w:firstColumn="1" w:lastColumn="0" w:noHBand="0" w:noVBand="1"/>
      </w:tblPr>
      <w:tblGrid>
        <w:gridCol w:w="2098"/>
        <w:gridCol w:w="2604"/>
        <w:gridCol w:w="2693"/>
      </w:tblGrid>
      <w:tr w:rsidR="009B05CA" w:rsidRPr="00EB3D75" w:rsidTr="003E1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:rsidR="009B05CA" w:rsidRPr="00EB3D75" w:rsidRDefault="009B05CA" w:rsidP="002406BF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EB3D75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2604" w:type="dxa"/>
            <w:vAlign w:val="center"/>
          </w:tcPr>
          <w:p w:rsidR="009B05CA" w:rsidRPr="00EB3D75" w:rsidRDefault="009B05CA" w:rsidP="002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B3D75">
              <w:rPr>
                <w:rFonts w:ascii="Open Sans Light" w:hAnsi="Open Sans Light"/>
                <w:lang w:val="es-ES"/>
              </w:rPr>
              <w:t>Variación</w:t>
            </w:r>
          </w:p>
          <w:p w:rsidR="009B05CA" w:rsidRPr="00EB3D75" w:rsidRDefault="009B05CA" w:rsidP="002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EB3D75">
              <w:rPr>
                <w:rFonts w:ascii="Open Sans Light" w:hAnsi="Open Sans Light"/>
                <w:lang w:val="es-ES"/>
              </w:rPr>
              <w:t>mensual</w:t>
            </w:r>
            <w:proofErr w:type="gramEnd"/>
            <w:r w:rsidRPr="00EB3D75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693" w:type="dxa"/>
            <w:vAlign w:val="center"/>
          </w:tcPr>
          <w:p w:rsidR="009B05CA" w:rsidRPr="00EB3D75" w:rsidRDefault="009B05CA" w:rsidP="00240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B3D75">
              <w:rPr>
                <w:rFonts w:ascii="Open Sans Light" w:hAnsi="Open Sans Light"/>
                <w:lang w:val="es-ES"/>
              </w:rPr>
              <w:t>Febrero 2018</w:t>
            </w:r>
            <w:r w:rsidRPr="00EB3D75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9B05CA" w:rsidRPr="00EB3D75" w:rsidTr="003E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Andreu</w:t>
            </w:r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sz w:val="22"/>
                <w:szCs w:val="22"/>
                <w:lang w:val="fr-FR"/>
              </w:rPr>
              <w:t>1,7 %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3.153 € </w:t>
            </w:r>
          </w:p>
        </w:tc>
      </w:tr>
      <w:tr w:rsidR="009B05CA" w:rsidRPr="00EB3D75" w:rsidTr="003E1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Nou</w:t>
            </w:r>
            <w:proofErr w:type="spellEnd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Barris</w:t>
            </w:r>
            <w:proofErr w:type="spellEnd"/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sz w:val="22"/>
                <w:szCs w:val="22"/>
                <w:lang w:val="fr-FR"/>
              </w:rPr>
              <w:t>1,0 %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2.418 € </w:t>
            </w:r>
          </w:p>
        </w:tc>
      </w:tr>
      <w:tr w:rsidR="009B05CA" w:rsidRPr="00EB3D75" w:rsidTr="003E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Sants</w:t>
            </w:r>
            <w:proofErr w:type="spellEnd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Montjuïc</w:t>
            </w:r>
            <w:proofErr w:type="spellEnd"/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sz w:val="22"/>
                <w:szCs w:val="22"/>
                <w:lang w:val="fr-FR"/>
              </w:rPr>
              <w:t>0,9 %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3.878 € </w:t>
            </w:r>
          </w:p>
        </w:tc>
      </w:tr>
      <w:tr w:rsidR="009B05CA" w:rsidRPr="00EB3D75" w:rsidTr="003E1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Horta - </w:t>
            </w: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Guinardó</w:t>
            </w:r>
            <w:proofErr w:type="spellEnd"/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sz w:val="22"/>
                <w:szCs w:val="22"/>
                <w:lang w:val="fr-FR"/>
              </w:rPr>
              <w:t>0,9 %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3.261 € </w:t>
            </w:r>
          </w:p>
        </w:tc>
      </w:tr>
      <w:tr w:rsidR="009B05CA" w:rsidRPr="00EB3D75" w:rsidTr="003E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Martí</w:t>
            </w:r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sz w:val="22"/>
                <w:szCs w:val="22"/>
                <w:lang w:val="fr-FR"/>
              </w:rPr>
              <w:t>0,3 %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4.026 € </w:t>
            </w:r>
          </w:p>
        </w:tc>
      </w:tr>
      <w:tr w:rsidR="009B05CA" w:rsidRPr="00EB3D75" w:rsidTr="003E1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Les </w:t>
            </w: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Corts</w:t>
            </w:r>
            <w:proofErr w:type="spellEnd"/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  <w:t>-2,0 %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5.061 € </w:t>
            </w:r>
          </w:p>
        </w:tc>
      </w:tr>
      <w:tr w:rsidR="009B05CA" w:rsidRPr="00EB3D75" w:rsidTr="003E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Eixample</w:t>
            </w:r>
            <w:proofErr w:type="spellEnd"/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  <w:t>-1,5 %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5.057 € </w:t>
            </w:r>
          </w:p>
        </w:tc>
      </w:tr>
      <w:tr w:rsidR="009B05CA" w:rsidRPr="00EB3D75" w:rsidTr="003E1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Sarrià</w:t>
            </w:r>
            <w:proofErr w:type="spellEnd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Gervasi</w:t>
            </w:r>
            <w:proofErr w:type="spellEnd"/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  <w:t>-0,8 %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5.494 € </w:t>
            </w:r>
          </w:p>
        </w:tc>
      </w:tr>
      <w:tr w:rsidR="009B05CA" w:rsidRPr="00EB3D75" w:rsidTr="003E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Ciutat</w:t>
            </w:r>
            <w:proofErr w:type="spellEnd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Vella</w:t>
            </w:r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  <w:t>-0,8 %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4.759 € </w:t>
            </w:r>
          </w:p>
        </w:tc>
      </w:tr>
      <w:tr w:rsidR="009B05CA" w:rsidRPr="00EB3D75" w:rsidTr="003E157A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bottom"/>
          </w:tcPr>
          <w:p w:rsidR="009B05CA" w:rsidRPr="00EB3D75" w:rsidRDefault="009B05CA" w:rsidP="002406BF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EB3D7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Gràcia</w:t>
            </w:r>
            <w:proofErr w:type="spellEnd"/>
          </w:p>
        </w:tc>
        <w:tc>
          <w:tcPr>
            <w:tcW w:w="2604" w:type="dxa"/>
            <w:vAlign w:val="bottom"/>
          </w:tcPr>
          <w:p w:rsidR="009B05CA" w:rsidRPr="00EB3D75" w:rsidRDefault="009B05CA" w:rsidP="0024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</w:pPr>
            <w:r w:rsidRPr="00EB3D75">
              <w:rPr>
                <w:rFonts w:ascii="Open Sans Light" w:hAnsi="Open Sans Light"/>
                <w:color w:val="FF0000"/>
                <w:sz w:val="22"/>
                <w:szCs w:val="22"/>
                <w:lang w:val="fr-FR"/>
              </w:rPr>
              <w:t>-0,3 %</w:t>
            </w:r>
          </w:p>
        </w:tc>
        <w:tc>
          <w:tcPr>
            <w:tcW w:w="2693" w:type="dxa"/>
            <w:vAlign w:val="bottom"/>
          </w:tcPr>
          <w:p w:rsidR="009B05CA" w:rsidRPr="00EB3D75" w:rsidRDefault="009B05CA" w:rsidP="002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EB3D75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 xml:space="preserve">                4.480 € </w:t>
            </w:r>
          </w:p>
        </w:tc>
      </w:tr>
    </w:tbl>
    <w:p w:rsidR="00571D3F" w:rsidRDefault="00571D3F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D95466" w:rsidRDefault="00D95466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D95466" w:rsidRDefault="00D95466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22DDD" w:rsidRDefault="00522DDD" w:rsidP="00522DDD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6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3E157A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7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9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6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6F6A28">
        <w:rPr>
          <w:rStyle w:val="Ninguno"/>
          <w:rFonts w:ascii="Open Sans Light" w:hAnsi="Open Sans Light" w:cs="Gisha"/>
          <w:b/>
          <w:color w:val="00AAAB"/>
        </w:rPr>
        <w:lastRenderedPageBreak/>
        <w:t>Departamento de Comunicación de fotocasa</w:t>
      </w:r>
    </w:p>
    <w:p w:rsidR="001E55E9" w:rsidRPr="008224C3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8224C3">
        <w:rPr>
          <w:rFonts w:ascii="Open Sans Light" w:hAnsi="Open Sans Light" w:cs="Gisha"/>
          <w:lang w:val="en-US"/>
        </w:rPr>
        <w:t>Tlf</w:t>
      </w:r>
      <w:proofErr w:type="spellEnd"/>
      <w:r w:rsidRPr="008224C3">
        <w:rPr>
          <w:rFonts w:ascii="Open Sans Light" w:hAnsi="Open Sans Light" w:cs="Gisha"/>
          <w:lang w:val="en-US"/>
        </w:rPr>
        <w:t>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r w:rsidRPr="008224C3">
        <w:rPr>
          <w:rFonts w:ascii="Open Sans Light" w:hAnsi="Open Sans Light" w:cs="Gisha"/>
          <w:lang w:val="en-US"/>
        </w:rPr>
        <w:t>Móvil</w:t>
      </w:r>
      <w:proofErr w:type="spellEnd"/>
      <w:r w:rsidRPr="008224C3">
        <w:rPr>
          <w:rFonts w:ascii="Open Sans Light" w:hAnsi="Open Sans Light" w:cs="Gisha"/>
          <w:lang w:val="en-US"/>
        </w:rPr>
        <w:t>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27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28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8224C3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8224C3" w:rsidSect="0052608C">
      <w:footerReference w:type="default" r:id="rId29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20B34"/>
    <w:rsid w:val="000349D7"/>
    <w:rsid w:val="00051CE3"/>
    <w:rsid w:val="000C0A63"/>
    <w:rsid w:val="00107E70"/>
    <w:rsid w:val="001D3EA4"/>
    <w:rsid w:val="001E55E9"/>
    <w:rsid w:val="002D49CF"/>
    <w:rsid w:val="002F5978"/>
    <w:rsid w:val="002F703B"/>
    <w:rsid w:val="003E157A"/>
    <w:rsid w:val="00424260"/>
    <w:rsid w:val="004D662C"/>
    <w:rsid w:val="004F1ADD"/>
    <w:rsid w:val="00502F70"/>
    <w:rsid w:val="00520583"/>
    <w:rsid w:val="0052104E"/>
    <w:rsid w:val="00522DDD"/>
    <w:rsid w:val="0052608C"/>
    <w:rsid w:val="005458ED"/>
    <w:rsid w:val="00555B33"/>
    <w:rsid w:val="00571D3F"/>
    <w:rsid w:val="005727DB"/>
    <w:rsid w:val="00583929"/>
    <w:rsid w:val="00616732"/>
    <w:rsid w:val="0069424C"/>
    <w:rsid w:val="006D2859"/>
    <w:rsid w:val="006F6A28"/>
    <w:rsid w:val="00700B0C"/>
    <w:rsid w:val="00717C6B"/>
    <w:rsid w:val="00726E52"/>
    <w:rsid w:val="0072741D"/>
    <w:rsid w:val="00761765"/>
    <w:rsid w:val="007A55E0"/>
    <w:rsid w:val="007A7435"/>
    <w:rsid w:val="007C4F99"/>
    <w:rsid w:val="007D7D01"/>
    <w:rsid w:val="007E6DDD"/>
    <w:rsid w:val="007F3CAC"/>
    <w:rsid w:val="007F4F4B"/>
    <w:rsid w:val="008050DA"/>
    <w:rsid w:val="008224C3"/>
    <w:rsid w:val="00832519"/>
    <w:rsid w:val="00874CE4"/>
    <w:rsid w:val="008835A0"/>
    <w:rsid w:val="008A3C8D"/>
    <w:rsid w:val="008B260A"/>
    <w:rsid w:val="008C428C"/>
    <w:rsid w:val="008D1475"/>
    <w:rsid w:val="00901EA6"/>
    <w:rsid w:val="00905EAB"/>
    <w:rsid w:val="00910177"/>
    <w:rsid w:val="00924360"/>
    <w:rsid w:val="009570C4"/>
    <w:rsid w:val="0096686F"/>
    <w:rsid w:val="009B05CA"/>
    <w:rsid w:val="009E2FF6"/>
    <w:rsid w:val="00A63382"/>
    <w:rsid w:val="00AB1B94"/>
    <w:rsid w:val="00AB5432"/>
    <w:rsid w:val="00AD3BC9"/>
    <w:rsid w:val="00AD62DD"/>
    <w:rsid w:val="00B12C9F"/>
    <w:rsid w:val="00B761DE"/>
    <w:rsid w:val="00BA1ECD"/>
    <w:rsid w:val="00BA74D6"/>
    <w:rsid w:val="00BC0CC9"/>
    <w:rsid w:val="00BE2674"/>
    <w:rsid w:val="00BF1F84"/>
    <w:rsid w:val="00C013FA"/>
    <w:rsid w:val="00C11399"/>
    <w:rsid w:val="00C249D7"/>
    <w:rsid w:val="00C521E4"/>
    <w:rsid w:val="00C55A00"/>
    <w:rsid w:val="00C747D5"/>
    <w:rsid w:val="00C94EBD"/>
    <w:rsid w:val="00CC3D53"/>
    <w:rsid w:val="00CE1874"/>
    <w:rsid w:val="00CF5D02"/>
    <w:rsid w:val="00D3055A"/>
    <w:rsid w:val="00D44A2D"/>
    <w:rsid w:val="00D44DA2"/>
    <w:rsid w:val="00D46A6E"/>
    <w:rsid w:val="00D474FD"/>
    <w:rsid w:val="00D80E46"/>
    <w:rsid w:val="00D95466"/>
    <w:rsid w:val="00D95FE6"/>
    <w:rsid w:val="00E168CA"/>
    <w:rsid w:val="00E36A54"/>
    <w:rsid w:val="00E4444B"/>
    <w:rsid w:val="00E8753C"/>
    <w:rsid w:val="00EA2400"/>
    <w:rsid w:val="00EB7C25"/>
    <w:rsid w:val="00F05662"/>
    <w:rsid w:val="00F20CC1"/>
    <w:rsid w:val="00F729EE"/>
    <w:rsid w:val="00FD1A81"/>
    <w:rsid w:val="00FD3B7B"/>
    <w:rsid w:val="00FE735D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www.schibsted.com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milanuncio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vibbo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motos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coches.net/" TargetMode="External"/><Relationship Id="rId28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habitaclia.com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8\2.%20FEBRERO\PRENSA\Resumen_PM_Nacional_02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85870516185477"/>
          <c:y val="0.1111111111111111"/>
          <c:w val="0.84158573928258973"/>
          <c:h val="0.5327085156022164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0D-490D-8470-42B043BE2D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CCAA!$B$26:$B$43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Andalucía</c:v>
                </c:pt>
                <c:pt idx="10">
                  <c:v>Aragón</c:v>
                </c:pt>
                <c:pt idx="11">
                  <c:v>Canarias</c:v>
                </c:pt>
                <c:pt idx="12">
                  <c:v>Castilla y León</c:v>
                </c:pt>
                <c:pt idx="13">
                  <c:v>La Rioja</c:v>
                </c:pt>
                <c:pt idx="14">
                  <c:v>Comunitat Valenciana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CCAA!$C$26:$C$43</c:f>
              <c:numCache>
                <c:formatCode>_-* #,##0\ "€"_-;\-* #,##0\ "€"_-;_-* "-"??\ "€"_-;_-@_-</c:formatCode>
                <c:ptCount val="18"/>
                <c:pt idx="0">
                  <c:v>2745.1914999999999</c:v>
                </c:pt>
                <c:pt idx="1">
                  <c:v>2473.6095</c:v>
                </c:pt>
                <c:pt idx="2">
                  <c:v>2365.4843999999998</c:v>
                </c:pt>
                <c:pt idx="3">
                  <c:v>2320.6833999999999</c:v>
                </c:pt>
                <c:pt idx="4">
                  <c:v>1747.1279999999999</c:v>
                </c:pt>
                <c:pt idx="5">
                  <c:v>1596.1056000000001</c:v>
                </c:pt>
                <c:pt idx="6">
                  <c:v>1581.9539</c:v>
                </c:pt>
                <c:pt idx="7">
                  <c:v>1567.5732</c:v>
                </c:pt>
                <c:pt idx="8">
                  <c:v>1558.7581</c:v>
                </c:pt>
                <c:pt idx="9">
                  <c:v>1542.4422999999999</c:v>
                </c:pt>
                <c:pt idx="10">
                  <c:v>1536.1783</c:v>
                </c:pt>
                <c:pt idx="11">
                  <c:v>1525.1124</c:v>
                </c:pt>
                <c:pt idx="12">
                  <c:v>1443.3325</c:v>
                </c:pt>
                <c:pt idx="13">
                  <c:v>1326.4791</c:v>
                </c:pt>
                <c:pt idx="14">
                  <c:v>1289.8396</c:v>
                </c:pt>
                <c:pt idx="15">
                  <c:v>1162.9232999999999</c:v>
                </c:pt>
                <c:pt idx="16">
                  <c:v>1098.4982</c:v>
                </c:pt>
                <c:pt idx="17">
                  <c:v>1065.6500000000001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0D-490D-8470-42B043BE2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9605216"/>
        <c:axId val="1029610656"/>
      </c:barChart>
      <c:catAx>
        <c:axId val="102960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9610656"/>
        <c:crosses val="autoZero"/>
        <c:auto val="1"/>
        <c:lblAlgn val="ctr"/>
        <c:lblOffset val="100"/>
        <c:noMultiLvlLbl val="0"/>
      </c:catAx>
      <c:valAx>
        <c:axId val="1029610656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960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064B3-6B88-4682-BDBA-78CED6F6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601</TotalTime>
  <Pages>6</Pages>
  <Words>1430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69</cp:revision>
  <dcterms:created xsi:type="dcterms:W3CDTF">2017-03-02T14:09:00Z</dcterms:created>
  <dcterms:modified xsi:type="dcterms:W3CDTF">2018-03-13T08:44:00Z</dcterms:modified>
</cp:coreProperties>
</file>