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8C" w:rsidRDefault="00BE2674" w:rsidP="00BE2674">
      <w:pPr>
        <w:ind w:right="-1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noProof/>
          <w:lang w:val="es-ES" w:eastAsia="es-ES" w:bidi="ks-Deva"/>
        </w:rPr>
        <w:drawing>
          <wp:anchor distT="0" distB="0" distL="114300" distR="114300" simplePos="0" relativeHeight="251659264" behindDoc="0" locked="0" layoutInCell="1" allowOverlap="1" wp14:anchorId="0E4D4718" wp14:editId="59E6988C">
            <wp:simplePos x="0" y="0"/>
            <wp:positionH relativeFrom="margin">
              <wp:posOffset>354264</wp:posOffset>
            </wp:positionH>
            <wp:positionV relativeFrom="margin">
              <wp:posOffset>-1237615</wp:posOffset>
            </wp:positionV>
            <wp:extent cx="5388928" cy="3326257"/>
            <wp:effectExtent l="0" t="0" r="0" b="0"/>
            <wp:wrapThrough wrapText="bothSides">
              <wp:wrapPolygon edited="0">
                <wp:start x="11403" y="7258"/>
                <wp:lineTo x="4785" y="8082"/>
                <wp:lineTo x="3564" y="8577"/>
                <wp:lineTo x="3971" y="12866"/>
                <wp:lineTo x="3971" y="13526"/>
                <wp:lineTo x="17818" y="13526"/>
                <wp:lineTo x="17919" y="9237"/>
                <wp:lineTo x="17512" y="7588"/>
                <wp:lineTo x="17105" y="7258"/>
                <wp:lineTo x="11403" y="7258"/>
              </wp:wrapPolygon>
            </wp:wrapThrough>
            <wp:docPr id="4" name="Imagen 4" descr="/Users/dacilroca/Desktop/LOGO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acilroca/Desktop/LOGO_PRENS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928" cy="332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08C">
        <w:rPr>
          <w:noProof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1FE3625C" wp14:editId="0D1B2D0B">
            <wp:simplePos x="0" y="0"/>
            <wp:positionH relativeFrom="margin">
              <wp:posOffset>-2046605</wp:posOffset>
            </wp:positionH>
            <wp:positionV relativeFrom="margin">
              <wp:posOffset>-1012825</wp:posOffset>
            </wp:positionV>
            <wp:extent cx="2295525" cy="2334895"/>
            <wp:effectExtent l="0" t="0" r="0" b="1905"/>
            <wp:wrapSquare wrapText="bothSides"/>
            <wp:docPr id="3" name="Imagen 3" descr="/Users/dacilroca/Desktop/ESQUINA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acilroca/Desktop/ESQUINA_PRENS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7F515C" w:rsidRDefault="0039014E" w:rsidP="00763F0F">
      <w:pPr>
        <w:pStyle w:val="Prrafodelista"/>
        <w:ind w:left="-851"/>
        <w:jc w:val="both"/>
        <w:rPr>
          <w:rFonts w:ascii="Open Sans" w:hAnsi="Open Sans"/>
          <w:b/>
          <w:bCs/>
          <w:color w:val="062151"/>
          <w:sz w:val="44"/>
          <w:szCs w:val="44"/>
          <w:lang w:val="es-ES"/>
        </w:rPr>
      </w:pPr>
      <w:r>
        <w:rPr>
          <w:rFonts w:ascii="Open Sans" w:hAnsi="Open Sans"/>
          <w:b/>
          <w:bCs/>
          <w:color w:val="062151"/>
          <w:sz w:val="44"/>
          <w:szCs w:val="44"/>
          <w:lang w:val="es-ES"/>
        </w:rPr>
        <w:t xml:space="preserve">El 51% de los inquilinos </w:t>
      </w:r>
      <w:r w:rsidR="007F515C">
        <w:rPr>
          <w:rFonts w:ascii="Open Sans" w:hAnsi="Open Sans"/>
          <w:b/>
          <w:bCs/>
          <w:color w:val="062151"/>
          <w:sz w:val="44"/>
          <w:szCs w:val="44"/>
          <w:lang w:val="es-ES"/>
        </w:rPr>
        <w:t xml:space="preserve">considera que el boom del alquiler turístico está </w:t>
      </w:r>
      <w:r w:rsidR="00981033">
        <w:rPr>
          <w:rFonts w:ascii="Open Sans" w:hAnsi="Open Sans"/>
          <w:b/>
          <w:bCs/>
          <w:color w:val="062151"/>
          <w:sz w:val="44"/>
          <w:szCs w:val="44"/>
          <w:lang w:val="es-ES"/>
        </w:rPr>
        <w:t>incrementando los precios</w:t>
      </w:r>
    </w:p>
    <w:p w:rsidR="00AB3E96" w:rsidRPr="007F515C" w:rsidRDefault="00AB3E96" w:rsidP="007F515C">
      <w:pPr>
        <w:jc w:val="both"/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</w:pPr>
    </w:p>
    <w:p w:rsidR="009D47E2" w:rsidRPr="004A3A78" w:rsidRDefault="007F515C" w:rsidP="00A03011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color w:val="404040" w:themeColor="text1" w:themeTint="BF"/>
          <w:sz w:val="20"/>
          <w:szCs w:val="20"/>
          <w:lang w:val="es-ES"/>
        </w:rPr>
      </w:pPr>
      <w:r w:rsidRPr="004A3A78">
        <w:rPr>
          <w:rFonts w:ascii="Open Sans Light" w:hAnsi="Open Sans Light"/>
          <w:b/>
          <w:bCs/>
          <w:color w:val="404040" w:themeColor="text1" w:themeTint="BF"/>
          <w:sz w:val="20"/>
          <w:szCs w:val="20"/>
          <w:lang w:val="es-ES"/>
        </w:rPr>
        <w:t xml:space="preserve">Un 34% </w:t>
      </w:r>
      <w:r w:rsidR="009D47E2" w:rsidRPr="004A3A78">
        <w:rPr>
          <w:rFonts w:ascii="Open Sans Light" w:hAnsi="Open Sans Light"/>
          <w:b/>
          <w:bCs/>
          <w:color w:val="404040" w:themeColor="text1" w:themeTint="BF"/>
          <w:sz w:val="20"/>
          <w:szCs w:val="20"/>
          <w:lang w:val="es-ES"/>
        </w:rPr>
        <w:t xml:space="preserve">de los inquilinos </w:t>
      </w:r>
      <w:r w:rsidRPr="004A3A78">
        <w:rPr>
          <w:rFonts w:ascii="Open Sans Light" w:hAnsi="Open Sans Light"/>
          <w:b/>
          <w:bCs/>
          <w:color w:val="404040" w:themeColor="text1" w:themeTint="BF"/>
          <w:sz w:val="20"/>
          <w:szCs w:val="20"/>
          <w:lang w:val="es-ES"/>
        </w:rPr>
        <w:t>c</w:t>
      </w:r>
      <w:r w:rsidR="009D47E2" w:rsidRPr="004A3A78">
        <w:rPr>
          <w:rFonts w:ascii="Open Sans Light" w:hAnsi="Open Sans Light"/>
          <w:b/>
          <w:bCs/>
          <w:color w:val="404040" w:themeColor="text1" w:themeTint="BF"/>
          <w:sz w:val="20"/>
          <w:szCs w:val="20"/>
          <w:lang w:val="es-ES"/>
        </w:rPr>
        <w:t>ree que la oferta de alquiler residencial es menor a causa del alquiler turístico</w:t>
      </w:r>
      <w:r w:rsidRPr="004A3A78">
        <w:rPr>
          <w:rFonts w:ascii="Open Sans Light" w:hAnsi="Open Sans Light"/>
          <w:b/>
          <w:bCs/>
          <w:color w:val="404040" w:themeColor="text1" w:themeTint="BF"/>
          <w:sz w:val="20"/>
          <w:szCs w:val="20"/>
          <w:lang w:val="es-ES"/>
        </w:rPr>
        <w:t xml:space="preserve"> </w:t>
      </w:r>
    </w:p>
    <w:p w:rsidR="009D47E2" w:rsidRPr="004A3A78" w:rsidRDefault="00A15D84" w:rsidP="00A03011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color w:val="404040" w:themeColor="text1" w:themeTint="BF"/>
          <w:sz w:val="20"/>
          <w:szCs w:val="20"/>
          <w:lang w:val="es-ES"/>
        </w:rPr>
      </w:pPr>
      <w:r w:rsidRPr="004A3A78">
        <w:rPr>
          <w:rFonts w:ascii="Open Sans Light" w:hAnsi="Open Sans Light"/>
          <w:b/>
          <w:bCs/>
          <w:color w:val="404040" w:themeColor="text1" w:themeTint="BF"/>
          <w:sz w:val="20"/>
          <w:szCs w:val="20"/>
          <w:lang w:val="es-ES"/>
        </w:rPr>
        <w:t>El 81% ha notado que en el último año los precios de los alquileres se han encarecido donde residen o donde quieren residir</w:t>
      </w:r>
    </w:p>
    <w:p w:rsidR="000D0329" w:rsidRPr="004A3A78" w:rsidRDefault="00A15D84" w:rsidP="00A03011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color w:val="404040" w:themeColor="text1" w:themeTint="BF"/>
          <w:sz w:val="20"/>
          <w:szCs w:val="20"/>
          <w:lang w:val="es-ES"/>
        </w:rPr>
      </w:pPr>
      <w:r w:rsidRPr="004A3A78">
        <w:rPr>
          <w:rFonts w:ascii="Open Sans Light" w:hAnsi="Open Sans Light"/>
          <w:b/>
          <w:bCs/>
          <w:color w:val="404040" w:themeColor="text1" w:themeTint="BF"/>
          <w:sz w:val="20"/>
          <w:szCs w:val="20"/>
          <w:lang w:val="es-ES"/>
        </w:rPr>
        <w:t>El 86% de los inquilinos se ha</w:t>
      </w:r>
      <w:r w:rsidR="00981033" w:rsidRPr="004A3A78">
        <w:rPr>
          <w:rFonts w:ascii="Open Sans Light" w:hAnsi="Open Sans Light"/>
          <w:b/>
          <w:bCs/>
          <w:color w:val="404040" w:themeColor="text1" w:themeTint="BF"/>
          <w:sz w:val="20"/>
          <w:szCs w:val="20"/>
          <w:lang w:val="es-ES"/>
        </w:rPr>
        <w:t xml:space="preserve"> visto obligado</w:t>
      </w:r>
      <w:r w:rsidRPr="004A3A78">
        <w:rPr>
          <w:rFonts w:ascii="Open Sans Light" w:hAnsi="Open Sans Light"/>
          <w:b/>
          <w:bCs/>
          <w:color w:val="404040" w:themeColor="text1" w:themeTint="BF"/>
          <w:sz w:val="20"/>
          <w:szCs w:val="20"/>
          <w:lang w:val="es-ES"/>
        </w:rPr>
        <w:t xml:space="preserve"> a subir el presupuesto inicial durante el proceso de búsqueda</w:t>
      </w:r>
    </w:p>
    <w:p w:rsidR="00A32328" w:rsidRPr="004A3A78" w:rsidRDefault="00A32328" w:rsidP="00A03011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color w:val="404040" w:themeColor="text1" w:themeTint="BF"/>
          <w:sz w:val="20"/>
          <w:szCs w:val="20"/>
          <w:lang w:val="es-ES"/>
        </w:rPr>
      </w:pPr>
      <w:r w:rsidRPr="004A3A78">
        <w:rPr>
          <w:rFonts w:ascii="Open Sans Light" w:hAnsi="Open Sans Light"/>
          <w:b/>
          <w:bCs/>
          <w:color w:val="404040" w:themeColor="text1" w:themeTint="BF"/>
          <w:sz w:val="20"/>
          <w:szCs w:val="20"/>
          <w:lang w:val="es-ES"/>
        </w:rPr>
        <w:t>7 de cada 10 inquilinos tiene la percepción de que los propietarios cada vez se decantan más por el alquiler turístico</w:t>
      </w:r>
    </w:p>
    <w:p w:rsidR="000D0329" w:rsidRPr="009D47E2" w:rsidRDefault="000D0329" w:rsidP="000D0329">
      <w:pPr>
        <w:jc w:val="both"/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</w:pPr>
    </w:p>
    <w:p w:rsidR="0052608C" w:rsidRPr="001C2065" w:rsidRDefault="0052608C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sz w:val="22"/>
          <w:szCs w:val="22"/>
          <w:lang w:val="es-ES"/>
        </w:rPr>
      </w:pPr>
      <w:r w:rsidRPr="001C2065">
        <w:rPr>
          <w:rFonts w:ascii="Open Sans Light" w:hAnsi="Open Sans Light"/>
          <w:b/>
          <w:color w:val="7F7F7F" w:themeColor="text1" w:themeTint="80"/>
          <w:sz w:val="22"/>
          <w:szCs w:val="22"/>
          <w:lang w:val="es-ES"/>
        </w:rPr>
        <w:t xml:space="preserve">Madrid, </w:t>
      </w:r>
      <w:r w:rsidR="007F515C">
        <w:rPr>
          <w:rFonts w:ascii="Open Sans Light" w:hAnsi="Open Sans Light"/>
          <w:b/>
          <w:color w:val="7F7F7F" w:themeColor="text1" w:themeTint="80"/>
          <w:sz w:val="22"/>
          <w:szCs w:val="22"/>
          <w:lang w:val="es-ES"/>
        </w:rPr>
        <w:t>27 de junio</w:t>
      </w:r>
      <w:r w:rsidR="00C05298" w:rsidRPr="001C2065">
        <w:rPr>
          <w:rFonts w:ascii="Open Sans Light" w:hAnsi="Open Sans Light"/>
          <w:b/>
          <w:color w:val="7F7F7F" w:themeColor="text1" w:themeTint="80"/>
          <w:sz w:val="22"/>
          <w:szCs w:val="22"/>
          <w:lang w:val="es-ES"/>
        </w:rPr>
        <w:t xml:space="preserve"> de 2017</w:t>
      </w:r>
    </w:p>
    <w:p w:rsidR="00A6150B" w:rsidRDefault="00A6150B" w:rsidP="00AB3E96">
      <w:pPr>
        <w:jc w:val="both"/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</w:pPr>
    </w:p>
    <w:p w:rsidR="00F75E19" w:rsidRDefault="00981033" w:rsidP="009268A2">
      <w:pPr>
        <w:ind w:left="-1134"/>
        <w:jc w:val="both"/>
        <w:rPr>
          <w:rFonts w:ascii="Open Sans Light" w:hAnsi="Open Sans Light"/>
          <w:color w:val="404040" w:themeColor="text1" w:themeTint="BF"/>
          <w:sz w:val="22"/>
          <w:szCs w:val="22"/>
        </w:rPr>
      </w:pPr>
      <w:r>
        <w:rPr>
          <w:rFonts w:ascii="Open Sans Light" w:hAnsi="Open Sans Light"/>
          <w:color w:val="404040" w:themeColor="text1" w:themeTint="BF"/>
          <w:sz w:val="22"/>
          <w:szCs w:val="22"/>
        </w:rPr>
        <w:t xml:space="preserve">Más de la mitad de </w:t>
      </w:r>
      <w:r w:rsidR="002C5640">
        <w:rPr>
          <w:rFonts w:ascii="Open Sans Light" w:hAnsi="Open Sans Light"/>
          <w:color w:val="404040" w:themeColor="text1" w:themeTint="BF"/>
          <w:sz w:val="22"/>
          <w:szCs w:val="22"/>
        </w:rPr>
        <w:t>las personas que alquilaron o buscaron una vivienda para alquilar</w:t>
      </w:r>
      <w:r>
        <w:rPr>
          <w:rFonts w:ascii="Open Sans Light" w:hAnsi="Open Sans Light"/>
          <w:color w:val="404040" w:themeColor="text1" w:themeTint="BF"/>
          <w:sz w:val="22"/>
          <w:szCs w:val="22"/>
        </w:rPr>
        <w:t xml:space="preserve"> durante el último año cree que el </w:t>
      </w:r>
      <w:r w:rsidR="00F75E19">
        <w:rPr>
          <w:rFonts w:ascii="Open Sans Light" w:hAnsi="Open Sans Light"/>
          <w:color w:val="404040" w:themeColor="text1" w:themeTint="BF"/>
          <w:sz w:val="22"/>
          <w:szCs w:val="22"/>
        </w:rPr>
        <w:t xml:space="preserve">precio del alquiler residencial se está incrementando debido al boom de las viviendas turísticas. Es una de las principales conclusiones que se desprende del estudio </w:t>
      </w:r>
      <w:r w:rsidR="00E8133B">
        <w:rPr>
          <w:rFonts w:ascii="Open Sans Light" w:hAnsi="Open Sans Light"/>
          <w:b/>
          <w:bCs/>
          <w:color w:val="404040" w:themeColor="text1" w:themeTint="BF"/>
          <w:sz w:val="22"/>
          <w:szCs w:val="22"/>
        </w:rPr>
        <w:t>“</w:t>
      </w:r>
      <w:r w:rsidR="00E8133B" w:rsidRPr="00E8133B">
        <w:rPr>
          <w:rFonts w:ascii="Open Sans Light" w:hAnsi="Open Sans Light"/>
          <w:b/>
          <w:bCs/>
          <w:i/>
          <w:iCs/>
          <w:color w:val="404040" w:themeColor="text1" w:themeTint="BF"/>
          <w:sz w:val="22"/>
          <w:szCs w:val="22"/>
        </w:rPr>
        <w:t>Visión de los inquilinos frente al alquiler turístico</w:t>
      </w:r>
      <w:r w:rsidR="00E8133B">
        <w:rPr>
          <w:rFonts w:ascii="Open Sans Light" w:hAnsi="Open Sans Light"/>
          <w:b/>
          <w:bCs/>
          <w:color w:val="404040" w:themeColor="text1" w:themeTint="BF"/>
          <w:sz w:val="22"/>
          <w:szCs w:val="22"/>
        </w:rPr>
        <w:t>”</w:t>
      </w:r>
      <w:r w:rsidR="00F75E19">
        <w:rPr>
          <w:rFonts w:ascii="Open Sans Light" w:hAnsi="Open Sans Light"/>
          <w:color w:val="404040" w:themeColor="text1" w:themeTint="BF"/>
          <w:sz w:val="22"/>
          <w:szCs w:val="22"/>
        </w:rPr>
        <w:t xml:space="preserve"> </w:t>
      </w:r>
      <w:r w:rsidR="00F75E19" w:rsidRPr="00C9675A"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  <w:t xml:space="preserve">realizado por el portal inmobiliario </w:t>
      </w:r>
      <w:hyperlink r:id="rId10" w:history="1">
        <w:r w:rsidR="00F75E19" w:rsidRPr="00C9675A">
          <w:rPr>
            <w:rStyle w:val="Hipervnculo"/>
            <w:rFonts w:ascii="Open Sans Light" w:hAnsi="Open Sans Light"/>
            <w:b/>
            <w:bCs/>
            <w:sz w:val="22"/>
            <w:szCs w:val="22"/>
            <w:lang w:val="es-ES"/>
          </w:rPr>
          <w:t>fotocasa</w:t>
        </w:r>
      </w:hyperlink>
      <w:r w:rsidR="00F75E19" w:rsidRPr="00C9675A">
        <w:rPr>
          <w:rStyle w:val="Hipervnculo"/>
          <w:rFonts w:ascii="Open Sans Light" w:hAnsi="Open Sans Light"/>
          <w:sz w:val="22"/>
          <w:szCs w:val="22"/>
          <w:u w:val="none"/>
          <w:lang w:val="es-ES"/>
        </w:rPr>
        <w:t xml:space="preserve"> </w:t>
      </w:r>
      <w:r w:rsidR="00F75E19" w:rsidRPr="00C9675A">
        <w:rPr>
          <w:rFonts w:ascii="Open Sans Light" w:hAnsi="Open Sans Light"/>
          <w:color w:val="404040" w:themeColor="text1" w:themeTint="BF"/>
          <w:sz w:val="22"/>
          <w:szCs w:val="22"/>
        </w:rPr>
        <w:t xml:space="preserve">con el objetivo de conocer </w:t>
      </w:r>
      <w:r w:rsidR="00F75E19">
        <w:rPr>
          <w:rFonts w:ascii="Open Sans Light" w:hAnsi="Open Sans Light"/>
          <w:color w:val="404040" w:themeColor="text1" w:themeTint="BF"/>
          <w:sz w:val="22"/>
          <w:szCs w:val="22"/>
        </w:rPr>
        <w:t xml:space="preserve">de qué manera los inquilinos están percibiendo que las viviendas turísticas están incidiendo en el mercado del alquiler residencial. </w:t>
      </w:r>
    </w:p>
    <w:p w:rsidR="00F75E19" w:rsidRDefault="00F75E19" w:rsidP="009268A2">
      <w:pPr>
        <w:ind w:left="-1134"/>
        <w:jc w:val="both"/>
        <w:rPr>
          <w:rFonts w:ascii="Open Sans Light" w:hAnsi="Open Sans Light"/>
          <w:color w:val="404040" w:themeColor="text1" w:themeTint="BF"/>
          <w:sz w:val="22"/>
          <w:szCs w:val="22"/>
        </w:rPr>
      </w:pPr>
    </w:p>
    <w:p w:rsidR="00581A73" w:rsidRDefault="005F2FCA" w:rsidP="009268A2">
      <w:pPr>
        <w:ind w:left="-1134"/>
        <w:jc w:val="both"/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</w:pPr>
      <w:r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  <w:t>De hecho,</w:t>
      </w:r>
      <w:r w:rsidR="00581A73"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  <w:t xml:space="preserve"> el 34% de los inquilinos considera que debido al alquiler turístico la oferta de alquiler residencial se reduce y un 13% asegura que hay barrios y calles en las que residen sobre todo extranjeros.</w:t>
      </w:r>
    </w:p>
    <w:p w:rsidR="004A3A78" w:rsidRDefault="004A3A78" w:rsidP="009268A2">
      <w:pPr>
        <w:ind w:left="-1134"/>
        <w:jc w:val="both"/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</w:pPr>
    </w:p>
    <w:p w:rsidR="00B15E37" w:rsidRDefault="004A3A78" w:rsidP="009268A2">
      <w:pPr>
        <w:ind w:left="-1134"/>
        <w:jc w:val="both"/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</w:pPr>
      <w:r w:rsidRPr="004A3A78"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  <w:t xml:space="preserve">“Este estudio refleja que hay un amplio consenso entre quienes alquilaron una vivienda el año pasado o intentaron hacerlo de que los precios de este mercado están subiendo. Pero tan solo el 51% considera que lo está haciendo como consecuencia del boom del alquiler turístico al que estamos asistiendo en nuestro país. En </w:t>
      </w:r>
      <w:hyperlink r:id="rId11" w:history="1">
        <w:proofErr w:type="spellStart"/>
        <w:r w:rsidRPr="00C9675A">
          <w:rPr>
            <w:rStyle w:val="Hipervnculo"/>
            <w:rFonts w:ascii="Open Sans Light" w:hAnsi="Open Sans Light"/>
            <w:b/>
            <w:bCs/>
            <w:sz w:val="22"/>
            <w:szCs w:val="22"/>
            <w:lang w:val="es-ES"/>
          </w:rPr>
          <w:t>fotocasa</w:t>
        </w:r>
        <w:proofErr w:type="spellEnd"/>
      </w:hyperlink>
      <w:r w:rsidRPr="004A3A78"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  <w:t xml:space="preserve"> siempre hemos defendido que este tipo de arrendamiento influye en el incremento de los precios, pero no es la razón principal de las fuertes tensiones que está registrando nuestro índice y que </w:t>
      </w:r>
      <w:r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  <w:t xml:space="preserve">ya eleva </w:t>
      </w:r>
      <w:r w:rsidRPr="004A3A78"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  <w:t xml:space="preserve">a 10,5% la subida media interanual de una vivienda en alquiler en España”, explica Beatriz Toribio, responsable de Estudios de </w:t>
      </w:r>
      <w:hyperlink r:id="rId12" w:history="1">
        <w:proofErr w:type="spellStart"/>
        <w:r w:rsidRPr="00C9675A">
          <w:rPr>
            <w:rStyle w:val="Hipervnculo"/>
            <w:rFonts w:ascii="Open Sans Light" w:hAnsi="Open Sans Light"/>
            <w:b/>
            <w:bCs/>
            <w:sz w:val="22"/>
            <w:szCs w:val="22"/>
            <w:lang w:val="es-ES"/>
          </w:rPr>
          <w:t>fotocasa</w:t>
        </w:r>
        <w:proofErr w:type="spellEnd"/>
      </w:hyperlink>
      <w:r w:rsidRPr="004A3A78"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  <w:t>.</w:t>
      </w:r>
    </w:p>
    <w:p w:rsidR="00581A73" w:rsidRPr="00A24EAA" w:rsidRDefault="00581A73" w:rsidP="006C4D78">
      <w:pPr>
        <w:ind w:left="-1134"/>
        <w:jc w:val="center"/>
        <w:rPr>
          <w:rFonts w:ascii="Open Sans" w:hAnsi="Open Sans"/>
          <w:color w:val="00AAAB"/>
          <w:sz w:val="20"/>
          <w:szCs w:val="20"/>
          <w:lang w:val="es-ES"/>
        </w:rPr>
      </w:pPr>
      <w:r w:rsidRPr="00A24EAA">
        <w:rPr>
          <w:rFonts w:ascii="Open Sans" w:hAnsi="Open Sans"/>
          <w:color w:val="00AAAB"/>
          <w:sz w:val="20"/>
          <w:szCs w:val="20"/>
          <w:lang w:val="es-ES"/>
        </w:rPr>
        <w:lastRenderedPageBreak/>
        <w:t xml:space="preserve">El boom del alquiler turístico, ¿está afectando a los alquileres en </w:t>
      </w:r>
      <w:r w:rsidR="006C4D78" w:rsidRPr="00A24EAA">
        <w:rPr>
          <w:rFonts w:ascii="Open Sans" w:hAnsi="Open Sans"/>
          <w:color w:val="00AAAB"/>
          <w:sz w:val="20"/>
          <w:szCs w:val="20"/>
          <w:lang w:val="es-ES"/>
        </w:rPr>
        <w:t>t</w:t>
      </w:r>
      <w:r w:rsidRPr="00A24EAA">
        <w:rPr>
          <w:rFonts w:ascii="Open Sans" w:hAnsi="Open Sans"/>
          <w:color w:val="00AAAB"/>
          <w:sz w:val="20"/>
          <w:szCs w:val="20"/>
          <w:lang w:val="es-ES"/>
        </w:rPr>
        <w:t>u localidad?</w:t>
      </w:r>
    </w:p>
    <w:p w:rsidR="006721D9" w:rsidRDefault="00581A73" w:rsidP="006721D9">
      <w:pPr>
        <w:ind w:left="-1134"/>
        <w:jc w:val="both"/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</w:pPr>
      <w:r>
        <w:rPr>
          <w:noProof/>
          <w:lang w:val="es-ES" w:eastAsia="es-ES" w:bidi="ks-Deva"/>
        </w:rPr>
        <w:drawing>
          <wp:inline distT="0" distB="0" distL="0" distR="0" wp14:anchorId="3967A583" wp14:editId="784F814C">
            <wp:extent cx="5486400" cy="2400300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721D9" w:rsidRDefault="006721D9" w:rsidP="009268A2">
      <w:pPr>
        <w:ind w:left="-1134"/>
        <w:jc w:val="both"/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</w:pPr>
    </w:p>
    <w:p w:rsidR="001E7D13" w:rsidRPr="001B2FB6" w:rsidRDefault="001E7D13" w:rsidP="006942AC">
      <w:pPr>
        <w:ind w:left="-1134"/>
        <w:rPr>
          <w:rFonts w:ascii="Open Sans" w:hAnsi="Open Sans"/>
          <w:color w:val="00AAAB"/>
          <w:lang w:val="es-ES"/>
        </w:rPr>
      </w:pPr>
      <w:r w:rsidRPr="001B2FB6">
        <w:rPr>
          <w:rFonts w:ascii="Open Sans" w:hAnsi="Open Sans"/>
          <w:color w:val="00AAAB"/>
          <w:lang w:val="es-ES"/>
        </w:rPr>
        <w:t>El 86% de los inquilinos ha tenido que incrementar el presupuesto inicial</w:t>
      </w:r>
    </w:p>
    <w:p w:rsidR="006942AC" w:rsidRDefault="006942AC" w:rsidP="006942AC">
      <w:pPr>
        <w:ind w:left="-1134"/>
        <w:rPr>
          <w:rFonts w:ascii="Open Sans" w:hAnsi="Open Sans"/>
          <w:color w:val="00AAAB"/>
          <w:sz w:val="22"/>
          <w:szCs w:val="22"/>
          <w:lang w:val="es-ES"/>
        </w:rPr>
      </w:pPr>
    </w:p>
    <w:p w:rsidR="006721D9" w:rsidRDefault="006942AC" w:rsidP="006942AC">
      <w:pPr>
        <w:ind w:left="-1134"/>
        <w:jc w:val="both"/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</w:pPr>
      <w:r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  <w:t xml:space="preserve">Según la encuesta de </w:t>
      </w:r>
      <w:hyperlink r:id="rId14" w:history="1">
        <w:proofErr w:type="spellStart"/>
        <w:r w:rsidR="0039423B" w:rsidRPr="00C9675A">
          <w:rPr>
            <w:rStyle w:val="Hipervnculo"/>
            <w:rFonts w:ascii="Open Sans Light" w:hAnsi="Open Sans Light"/>
            <w:b/>
            <w:bCs/>
            <w:sz w:val="22"/>
            <w:szCs w:val="22"/>
            <w:lang w:val="es-ES"/>
          </w:rPr>
          <w:t>fotocasa</w:t>
        </w:r>
        <w:proofErr w:type="spellEnd"/>
      </w:hyperlink>
      <w:r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  <w:t>,</w:t>
      </w:r>
      <w:r w:rsidR="006721D9"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  <w:t xml:space="preserve"> el 81% </w:t>
      </w:r>
      <w:r w:rsidR="00955FEC"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  <w:t>de las personas que alquilaron o trataron de alquilar</w:t>
      </w:r>
      <w:r w:rsidR="006721D9"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  <w:t xml:space="preserve"> considera que los precios de los alquileres se han incrementado en la zona en la que reside</w:t>
      </w:r>
      <w:r w:rsidR="00955FEC"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  <w:t>n</w:t>
      </w:r>
      <w:r w:rsidR="006721D9"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  <w:t xml:space="preserve"> o en la que busca </w:t>
      </w:r>
      <w:r w:rsidR="001B2FB6"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  <w:t>vivienda de alquiler</w:t>
      </w:r>
      <w:r w:rsidR="006721D9"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  <w:t>. De hecho, un 34% percibe que el precio se ha incrementado entre un 10 y un 20% respecto al año pasado</w:t>
      </w:r>
      <w:r w:rsidR="00494E18"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  <w:t>.</w:t>
      </w:r>
      <w:r w:rsidR="006721D9"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  <w:t xml:space="preserve"> </w:t>
      </w:r>
    </w:p>
    <w:p w:rsidR="00B94209" w:rsidRDefault="00B94209" w:rsidP="006942AC">
      <w:pPr>
        <w:ind w:left="-1134"/>
        <w:jc w:val="both"/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</w:pPr>
    </w:p>
    <w:p w:rsidR="00EC221A" w:rsidRDefault="00EC221A" w:rsidP="006942AC">
      <w:pPr>
        <w:ind w:left="-1134"/>
        <w:jc w:val="both"/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</w:pPr>
    </w:p>
    <w:p w:rsidR="006721D9" w:rsidRPr="00A24EAA" w:rsidRDefault="006721D9" w:rsidP="001B2FB6">
      <w:pPr>
        <w:ind w:left="-1134"/>
        <w:jc w:val="center"/>
        <w:rPr>
          <w:rFonts w:ascii="Open Sans" w:hAnsi="Open Sans"/>
          <w:color w:val="00AAAB"/>
          <w:sz w:val="20"/>
          <w:szCs w:val="20"/>
          <w:lang w:val="es-ES"/>
        </w:rPr>
      </w:pPr>
      <w:r w:rsidRPr="00A24EAA">
        <w:rPr>
          <w:rFonts w:ascii="Open Sans" w:hAnsi="Open Sans"/>
          <w:color w:val="00AAAB"/>
          <w:sz w:val="20"/>
          <w:szCs w:val="20"/>
          <w:lang w:val="es-ES"/>
        </w:rPr>
        <w:t>¿</w:t>
      </w:r>
      <w:r w:rsidR="001B2FB6" w:rsidRPr="00A24EAA">
        <w:rPr>
          <w:rFonts w:ascii="Open Sans" w:hAnsi="Open Sans"/>
          <w:color w:val="00AAAB"/>
          <w:sz w:val="20"/>
          <w:szCs w:val="20"/>
          <w:lang w:val="es-ES"/>
        </w:rPr>
        <w:t>Cuá</w:t>
      </w:r>
      <w:r w:rsidRPr="00A24EAA">
        <w:rPr>
          <w:rFonts w:ascii="Open Sans" w:hAnsi="Open Sans"/>
          <w:color w:val="00AAAB"/>
          <w:sz w:val="20"/>
          <w:szCs w:val="20"/>
          <w:lang w:val="es-ES"/>
        </w:rPr>
        <w:t xml:space="preserve">nto </w:t>
      </w:r>
      <w:r w:rsidR="00494E18" w:rsidRPr="00A24EAA">
        <w:rPr>
          <w:rFonts w:ascii="Open Sans" w:hAnsi="Open Sans"/>
          <w:color w:val="00AAAB"/>
          <w:sz w:val="20"/>
          <w:szCs w:val="20"/>
          <w:lang w:val="es-ES"/>
        </w:rPr>
        <w:t xml:space="preserve">percibes que </w:t>
      </w:r>
      <w:r w:rsidRPr="00A24EAA">
        <w:rPr>
          <w:rFonts w:ascii="Open Sans" w:hAnsi="Open Sans"/>
          <w:color w:val="00AAAB"/>
          <w:sz w:val="20"/>
          <w:szCs w:val="20"/>
          <w:lang w:val="es-ES"/>
        </w:rPr>
        <w:t xml:space="preserve">ha subido </w:t>
      </w:r>
      <w:r w:rsidR="001B2FB6" w:rsidRPr="00A24EAA">
        <w:rPr>
          <w:rFonts w:ascii="Open Sans" w:hAnsi="Open Sans"/>
          <w:color w:val="00AAAB"/>
          <w:sz w:val="20"/>
          <w:szCs w:val="20"/>
          <w:lang w:val="es-ES"/>
        </w:rPr>
        <w:t>el precio del alquiler respecto al año pasado?</w:t>
      </w:r>
    </w:p>
    <w:p w:rsidR="006721D9" w:rsidRDefault="006721D9" w:rsidP="006942AC">
      <w:pPr>
        <w:ind w:left="-1134"/>
        <w:jc w:val="both"/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</w:pPr>
      <w:r>
        <w:rPr>
          <w:noProof/>
          <w:lang w:val="es-ES" w:eastAsia="es-ES" w:bidi="ks-Deva"/>
        </w:rPr>
        <w:drawing>
          <wp:inline distT="0" distB="0" distL="0" distR="0" wp14:anchorId="06442B98" wp14:editId="0FCD4EF1">
            <wp:extent cx="5591810" cy="2725615"/>
            <wp:effectExtent l="0" t="0" r="889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C221A" w:rsidRDefault="00EC221A" w:rsidP="006942AC">
      <w:pPr>
        <w:ind w:left="-1134"/>
        <w:jc w:val="both"/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</w:pPr>
    </w:p>
    <w:p w:rsidR="00494E18" w:rsidRDefault="00494E18" w:rsidP="00494E18">
      <w:pPr>
        <w:ind w:left="-1134"/>
        <w:jc w:val="both"/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</w:pPr>
      <w:r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  <w:t>Esta percepción en el incremento de los precios de la vivienda de alquiler se explica porque, la mayoría de los inquilinos</w:t>
      </w:r>
      <w:r w:rsidR="00A24EAA"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  <w:t>, tanto los que han encontrado vivienda como los que no</w:t>
      </w:r>
      <w:r w:rsidR="00EC221A"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  <w:t xml:space="preserve"> lo han hecho</w:t>
      </w:r>
      <w:r w:rsidR="00A24EAA"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  <w:t>,</w:t>
      </w:r>
      <w:r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  <w:t xml:space="preserve"> se ha</w:t>
      </w:r>
      <w:r w:rsidR="00A24EAA"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  <w:t xml:space="preserve">n visto obligados a incrementar el presupuesto inicial. En el caso de los que no han encontrado vivienda de alquiler todavía, el 86% ha subido el presupuesto que se había marcado y en el caso de los que sí que han encontrado vivienda, el porcentaje que incrementó el presupuesto </w:t>
      </w:r>
      <w:r w:rsidR="002C5640"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  <w:t>es</w:t>
      </w:r>
      <w:r w:rsidR="00A24EAA"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  <w:t xml:space="preserve"> del 59%.</w:t>
      </w:r>
    </w:p>
    <w:p w:rsidR="00544478" w:rsidRDefault="00544478" w:rsidP="00544478">
      <w:pPr>
        <w:ind w:left="-1134"/>
        <w:jc w:val="center"/>
        <w:rPr>
          <w:rFonts w:ascii="Open Sans" w:hAnsi="Open Sans"/>
          <w:color w:val="00AAAB"/>
          <w:sz w:val="20"/>
          <w:szCs w:val="20"/>
          <w:lang w:val="es-ES"/>
        </w:rPr>
      </w:pPr>
      <w:r w:rsidRPr="00A24EAA">
        <w:rPr>
          <w:rFonts w:ascii="Open Sans" w:hAnsi="Open Sans"/>
          <w:color w:val="00AAAB"/>
          <w:sz w:val="20"/>
          <w:szCs w:val="20"/>
          <w:lang w:val="es-ES"/>
        </w:rPr>
        <w:lastRenderedPageBreak/>
        <w:t xml:space="preserve">¿Cuánto </w:t>
      </w:r>
      <w:r>
        <w:rPr>
          <w:rFonts w:ascii="Open Sans" w:hAnsi="Open Sans"/>
          <w:color w:val="00AAAB"/>
          <w:sz w:val="20"/>
          <w:szCs w:val="20"/>
          <w:lang w:val="es-ES"/>
        </w:rPr>
        <w:t>has incrementado el presupuesto inicial?</w:t>
      </w:r>
    </w:p>
    <w:p w:rsidR="00544478" w:rsidRDefault="00544478" w:rsidP="00544478">
      <w:pPr>
        <w:ind w:left="-1134"/>
        <w:rPr>
          <w:rFonts w:ascii="Open Sans" w:hAnsi="Open Sans"/>
          <w:color w:val="00AAAB"/>
          <w:sz w:val="20"/>
          <w:szCs w:val="20"/>
          <w:lang w:val="es-ES"/>
        </w:rPr>
      </w:pPr>
    </w:p>
    <w:p w:rsidR="00544478" w:rsidRPr="00A24EAA" w:rsidRDefault="00544478" w:rsidP="00544478">
      <w:pPr>
        <w:ind w:left="-1134"/>
        <w:rPr>
          <w:rFonts w:ascii="Open Sans" w:hAnsi="Open Sans"/>
          <w:color w:val="00AAAB"/>
          <w:sz w:val="20"/>
          <w:szCs w:val="20"/>
          <w:lang w:val="es-ES"/>
        </w:rPr>
      </w:pPr>
      <w:r>
        <w:rPr>
          <w:noProof/>
          <w:lang w:val="es-ES" w:eastAsia="es-ES" w:bidi="ks-Deva"/>
        </w:rPr>
        <w:drawing>
          <wp:inline distT="0" distB="0" distL="0" distR="0" wp14:anchorId="41EFAE29" wp14:editId="4F010F9B">
            <wp:extent cx="5565531" cy="27432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44478" w:rsidRDefault="00544478" w:rsidP="00494E18">
      <w:pPr>
        <w:ind w:left="-1134"/>
        <w:jc w:val="both"/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</w:pPr>
    </w:p>
    <w:p w:rsidR="00EC221A" w:rsidRDefault="00EC221A" w:rsidP="00494E18">
      <w:pPr>
        <w:ind w:left="-1134"/>
        <w:jc w:val="both"/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</w:pPr>
    </w:p>
    <w:p w:rsidR="00A24EAA" w:rsidRPr="008272BE" w:rsidRDefault="008272BE" w:rsidP="008272BE">
      <w:pPr>
        <w:ind w:left="-1134"/>
        <w:rPr>
          <w:rFonts w:ascii="Open Sans" w:hAnsi="Open Sans"/>
          <w:color w:val="00AAAB"/>
          <w:lang w:val="es-ES"/>
        </w:rPr>
      </w:pPr>
      <w:r w:rsidRPr="008272BE">
        <w:rPr>
          <w:rFonts w:ascii="Open Sans" w:hAnsi="Open Sans"/>
          <w:color w:val="00AAAB"/>
          <w:lang w:val="es-ES"/>
        </w:rPr>
        <w:t>El 71% de los inquilinos cree que los propietarios prefieren el alquiler turístico</w:t>
      </w:r>
    </w:p>
    <w:p w:rsidR="00A24EAA" w:rsidRDefault="00A24EAA" w:rsidP="00494E18">
      <w:pPr>
        <w:ind w:left="-1134"/>
        <w:jc w:val="both"/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</w:pPr>
    </w:p>
    <w:p w:rsidR="008272BE" w:rsidRDefault="005F68CC" w:rsidP="00494E18">
      <w:pPr>
        <w:ind w:left="-1134"/>
        <w:jc w:val="both"/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</w:pPr>
      <w:r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  <w:t>7 de cada 10 encuestados creen que los propietarios prefiere</w:t>
      </w:r>
      <w:r w:rsidR="00D108F1"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  <w:t>n</w:t>
      </w:r>
      <w:bookmarkStart w:id="0" w:name="_GoBack"/>
      <w:bookmarkEnd w:id="0"/>
      <w:r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  <w:t xml:space="preserve"> optar por el alquiler turístico antes que por el residencial o de larga duración. El 75% considera que para los propietarios es más rentable económicamente, seguido de un 44% que cree que es más fácil y rápido de alquiler y un 23% piensa que los propietarios se decantan por el turístico porque es un alquiler que está de moda.</w:t>
      </w:r>
    </w:p>
    <w:p w:rsidR="005F68CC" w:rsidRDefault="005F68CC" w:rsidP="00494E18">
      <w:pPr>
        <w:ind w:left="-1134"/>
        <w:jc w:val="both"/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</w:pPr>
    </w:p>
    <w:p w:rsidR="005F68CC" w:rsidRDefault="005F68CC" w:rsidP="00494E18">
      <w:pPr>
        <w:ind w:left="-1134"/>
        <w:jc w:val="both"/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</w:pPr>
      <w:r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  <w:t>Además, a la hora de tomar medidas frente al alquiler turístico, los inqui</w:t>
      </w:r>
      <w:r w:rsidR="0096024D"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  <w:t>linos consideran que es necesario más control sobre los propietarios que alquilan viviendas turísticas (57%)</w:t>
      </w:r>
      <w:r w:rsidR="00F32CD0"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  <w:t>, más y mejor regulación (47%), limitar la oferta de este tipo de alquileres (19%), que los propietarios tengan que pagar más impuestos (14%) y un 12% no ve necesarias nuevas medidas.</w:t>
      </w:r>
    </w:p>
    <w:p w:rsidR="00F32CD0" w:rsidRDefault="00F32CD0" w:rsidP="00494E18">
      <w:pPr>
        <w:ind w:left="-1134"/>
        <w:jc w:val="both"/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</w:pPr>
    </w:p>
    <w:p w:rsidR="00343A5F" w:rsidRDefault="00343A5F" w:rsidP="00ED5960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EC221A" w:rsidRDefault="00EC221A" w:rsidP="00ED5960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4A3A78" w:rsidRDefault="004A3A78" w:rsidP="00ED5960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B32076" w:rsidRPr="00B32076" w:rsidRDefault="00B32076" w:rsidP="00B32076">
      <w:pPr>
        <w:pStyle w:val="Cuerpo"/>
        <w:ind w:left="-1134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B32076">
        <w:rPr>
          <w:rStyle w:val="Ninguno"/>
          <w:rFonts w:ascii="Open Sans Light" w:hAnsi="Open Sans Light" w:cs="Gisha"/>
          <w:b/>
          <w:color w:val="00AAAB"/>
        </w:rPr>
        <w:t>Sobre el estudio “</w:t>
      </w:r>
      <w:r w:rsidR="0097084C">
        <w:rPr>
          <w:rStyle w:val="Ninguno"/>
          <w:rFonts w:ascii="Open Sans Light" w:hAnsi="Open Sans Light" w:cs="Gisha"/>
          <w:b/>
          <w:i/>
          <w:iCs/>
          <w:color w:val="00AAAB"/>
        </w:rPr>
        <w:t>Visión de los inquilinos frente al alquiler turístico</w:t>
      </w:r>
      <w:r w:rsidRPr="00B32076">
        <w:rPr>
          <w:rStyle w:val="Ninguno"/>
          <w:rFonts w:ascii="Open Sans Light" w:hAnsi="Open Sans Light" w:cs="Gisha"/>
          <w:b/>
          <w:color w:val="00AAAB"/>
        </w:rPr>
        <w:t>”</w:t>
      </w:r>
    </w:p>
    <w:p w:rsidR="00343A5F" w:rsidRDefault="00343A5F" w:rsidP="00ED5960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B32076" w:rsidRPr="00D14BFC" w:rsidRDefault="00B32076" w:rsidP="00B32076">
      <w:pPr>
        <w:tabs>
          <w:tab w:val="left" w:pos="1800"/>
        </w:tabs>
        <w:ind w:left="-1134"/>
        <w:jc w:val="both"/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</w:pPr>
      <w:r w:rsidRPr="00EC221A"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  <w:t xml:space="preserve">El portal inmobiliario </w:t>
      </w:r>
      <w:hyperlink r:id="rId17" w:history="1">
        <w:r w:rsidRPr="00EC221A">
          <w:rPr>
            <w:rStyle w:val="Hipervnculo"/>
            <w:rFonts w:ascii="Open Sans Light" w:hAnsi="Open Sans Light"/>
            <w:sz w:val="22"/>
            <w:szCs w:val="22"/>
            <w:lang w:val="es-ES"/>
          </w:rPr>
          <w:t>fotocasa</w:t>
        </w:r>
      </w:hyperlink>
      <w:r w:rsidRPr="00EC221A"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  <w:t xml:space="preserve">, en colaboración con </w:t>
      </w:r>
      <w:proofErr w:type="spellStart"/>
      <w:r w:rsidRPr="00EC221A"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  <w:t>Netquest</w:t>
      </w:r>
      <w:proofErr w:type="spellEnd"/>
      <w:r w:rsidRPr="00EC221A"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  <w:t>, empresa especializada en la recogida de datos online, ha realizado la encuesta “</w:t>
      </w:r>
      <w:r w:rsidR="00EC221A" w:rsidRPr="00EC221A"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  <w:t>Visión de los inquilinos frente al alquiler turístico</w:t>
      </w:r>
      <w:r w:rsidRPr="00EC221A"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  <w:t xml:space="preserve">”. </w:t>
      </w:r>
      <w:r w:rsidR="00D14BFC" w:rsidRPr="00EC221A"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  <w:t xml:space="preserve">El estudio se realizó a una base de </w:t>
      </w:r>
      <w:r w:rsidR="009076F5" w:rsidRPr="00EC221A"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  <w:t>1.0</w:t>
      </w:r>
      <w:r w:rsidR="00EC221A" w:rsidRPr="00EC221A"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  <w:t>00</w:t>
      </w:r>
      <w:r w:rsidR="00D14BFC" w:rsidRPr="00EC221A"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  <w:t xml:space="preserve"> personas</w:t>
      </w:r>
      <w:r w:rsidR="00D236C5" w:rsidRPr="00EC221A"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  <w:t xml:space="preserve"> que</w:t>
      </w:r>
      <w:r w:rsidR="00D14BFC" w:rsidRPr="00EC221A"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  <w:t xml:space="preserve"> han </w:t>
      </w:r>
      <w:r w:rsidR="00EC221A" w:rsidRPr="00EC221A"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  <w:t>buscado vivienda de alquiler en el último año</w:t>
      </w:r>
      <w:r w:rsidR="00D14BFC" w:rsidRPr="00EC221A"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  <w:t xml:space="preserve">. El periodo de </w:t>
      </w:r>
      <w:r w:rsidR="009076F5" w:rsidRPr="00EC221A"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  <w:t>recogida de datos se realizó entre el el 31 de Marzo y el 19 de Abril de 2017.</w:t>
      </w:r>
    </w:p>
    <w:p w:rsidR="004A1967" w:rsidRDefault="00D14BFC" w:rsidP="00D14BFC">
      <w:pPr>
        <w:tabs>
          <w:tab w:val="left" w:pos="4665"/>
        </w:tabs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>
        <w:rPr>
          <w:rFonts w:ascii="Open Sans Light" w:hAnsi="Open Sans Light"/>
          <w:color w:val="404040" w:themeColor="text1" w:themeTint="BF"/>
          <w:lang w:val="es-ES"/>
        </w:rPr>
        <w:tab/>
      </w:r>
    </w:p>
    <w:p w:rsidR="00EC221A" w:rsidRDefault="00EC221A" w:rsidP="00D14BFC">
      <w:pPr>
        <w:tabs>
          <w:tab w:val="left" w:pos="4665"/>
        </w:tabs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AD3BC9" w:rsidRPr="001606E5" w:rsidRDefault="00AD3BC9" w:rsidP="00AD3BC9">
      <w:pPr>
        <w:pStyle w:val="Cuerpo"/>
        <w:ind w:left="-1134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1606E5">
        <w:rPr>
          <w:rStyle w:val="Ninguno"/>
          <w:rFonts w:ascii="Open Sans Light" w:hAnsi="Open Sans Light" w:cs="Gisha"/>
          <w:b/>
          <w:color w:val="00AAAB"/>
        </w:rPr>
        <w:lastRenderedPageBreak/>
        <w:t xml:space="preserve">Sobre </w:t>
      </w:r>
      <w:proofErr w:type="spellStart"/>
      <w:r w:rsidRPr="001606E5">
        <w:rPr>
          <w:rStyle w:val="Ninguno"/>
          <w:rFonts w:ascii="Open Sans Light" w:hAnsi="Open Sans Light" w:cs="Gisha"/>
          <w:b/>
          <w:color w:val="00AAAB"/>
        </w:rPr>
        <w:t>fotocasa</w:t>
      </w:r>
      <w:proofErr w:type="spellEnd"/>
    </w:p>
    <w:p w:rsidR="00AD3BC9" w:rsidRPr="00927974" w:rsidRDefault="00AD3BC9" w:rsidP="00AD3BC9">
      <w:pPr>
        <w:pStyle w:val="Cuerpo"/>
        <w:ind w:left="-1134"/>
        <w:jc w:val="both"/>
        <w:rPr>
          <w:rFonts w:ascii="Gill Sans MT" w:eastAsia="Gisha" w:hAnsi="Gill Sans MT" w:cs="Gisha"/>
          <w:lang w:val="es-ES_tradnl"/>
        </w:rPr>
      </w:pPr>
    </w:p>
    <w:p w:rsidR="00AD3BC9" w:rsidRPr="001606E5" w:rsidRDefault="00AD3BC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 w:rsidRPr="00346A71">
        <w:rPr>
          <w:rFonts w:ascii="Open Sans Light" w:hAnsi="Open Sans Light" w:cs="Gisha"/>
          <w:sz w:val="22"/>
          <w:szCs w:val="22"/>
          <w:lang w:val="es-ES"/>
        </w:rPr>
        <w:t xml:space="preserve">Portal inmobiliario que dispone de la mayor oferta del mercado, tanto inmuebles de segunda mano como promociones de obra nueva y alquiler. Cada mes genera un tráfico de </w:t>
      </w:r>
      <w:r w:rsidRPr="00AD3BC9">
        <w:rPr>
          <w:rFonts w:ascii="Open Sans Light" w:hAnsi="Open Sans Light" w:cs="Gisha"/>
          <w:b/>
          <w:bCs/>
          <w:sz w:val="22"/>
          <w:szCs w:val="22"/>
          <w:lang w:val="es-ES"/>
        </w:rPr>
        <w:t>19 millones de visitas al mes</w:t>
      </w:r>
      <w:r w:rsidRPr="00346A71">
        <w:rPr>
          <w:rFonts w:ascii="Open Sans Light" w:hAnsi="Open Sans Light" w:cs="Gisha"/>
          <w:sz w:val="22"/>
          <w:szCs w:val="22"/>
          <w:lang w:val="es-ES"/>
        </w:rPr>
        <w:t xml:space="preserve"> (62% a través de dispositivos móviles) y </w:t>
      </w:r>
      <w:r w:rsidRPr="00AD3BC9">
        <w:rPr>
          <w:rFonts w:ascii="Open Sans Light" w:hAnsi="Open Sans Light" w:cs="Gisha"/>
          <w:b/>
          <w:bCs/>
          <w:sz w:val="22"/>
          <w:szCs w:val="22"/>
          <w:lang w:val="es-ES"/>
        </w:rPr>
        <w:t>650 millones de páginas vistas</w:t>
      </w:r>
      <w:r w:rsidRPr="00346A71">
        <w:rPr>
          <w:rFonts w:ascii="Open Sans Light" w:hAnsi="Open Sans Light" w:cs="Gisha"/>
          <w:sz w:val="22"/>
          <w:szCs w:val="22"/>
          <w:lang w:val="es-ES"/>
        </w:rPr>
        <w:t xml:space="preserve"> y cada día la visitan un </w:t>
      </w:r>
      <w:r w:rsidRPr="00AD3BC9">
        <w:rPr>
          <w:rFonts w:ascii="Open Sans Light" w:hAnsi="Open Sans Light" w:cs="Gisha"/>
          <w:b/>
          <w:bCs/>
          <w:sz w:val="22"/>
          <w:szCs w:val="22"/>
          <w:lang w:val="es-ES"/>
        </w:rPr>
        <w:t>promedio de 493.000 usuarios únicos</w:t>
      </w:r>
      <w:r w:rsidRPr="00346A71">
        <w:rPr>
          <w:rFonts w:ascii="Open Sans Light" w:hAnsi="Open Sans Light" w:cs="Gisha"/>
          <w:sz w:val="22"/>
          <w:szCs w:val="22"/>
          <w:lang w:val="es-ES"/>
        </w:rPr>
        <w:t xml:space="preserve">. </w:t>
      </w:r>
      <w:r w:rsidRPr="001606E5">
        <w:rPr>
          <w:rFonts w:ascii="Open Sans Light" w:hAnsi="Open Sans Light" w:cs="Gisha"/>
          <w:sz w:val="22"/>
          <w:szCs w:val="22"/>
          <w:lang w:val="es-ES"/>
        </w:rPr>
        <w:t xml:space="preserve">Mensualmente elabora el </w:t>
      </w:r>
      <w:hyperlink r:id="rId18" w:history="1">
        <w:r w:rsidRPr="001606E5"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>índice inmobiliario fotocasa</w:t>
        </w:r>
      </w:hyperlink>
      <w:r w:rsidRPr="001606E5">
        <w:rPr>
          <w:rFonts w:ascii="Open Sans Light" w:hAnsi="Open Sans Light" w:cs="Gisha"/>
          <w:sz w:val="22"/>
          <w:szCs w:val="22"/>
          <w:lang w:val="es-ES"/>
        </w:rPr>
        <w:t xml:space="preserve">, un informe de referencia sobre la evolución del precio medio de la vivienda en España, tanto en venta como en alquiler. </w:t>
      </w:r>
    </w:p>
    <w:p w:rsidR="00AD3BC9" w:rsidRPr="001606E5" w:rsidRDefault="00AD3BC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AD3BC9" w:rsidRDefault="00D108F1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hyperlink r:id="rId19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Fotocasa</w:t>
        </w:r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 pertenece a </w:t>
      </w:r>
      <w:hyperlink r:id="rId20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 xml:space="preserve"> </w:t>
        </w:r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Spain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, la compañía de anuncios clasificados y de ofertas de empleo más grande y diversificada del país. Además de gestionar el portal inmobiliario </w:t>
      </w:r>
      <w:hyperlink r:id="rId21" w:history="1">
        <w:r w:rsidR="00AD3BC9" w:rsidRPr="001606E5">
          <w:rPr>
            <w:rFonts w:ascii="Open Sans Light" w:hAnsi="Open Sans Light" w:cs="Gisha"/>
            <w:sz w:val="22"/>
            <w:szCs w:val="22"/>
            <w:lang w:val="es-ES"/>
          </w:rPr>
          <w:t>fotocasa</w:t>
        </w:r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, cuenta con los siguientes portales de referencia: </w:t>
      </w:r>
      <w:hyperlink r:id="rId22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vibbo</w:t>
        </w:r>
        <w:proofErr w:type="spellEnd"/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3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infojobs.net</w:t>
        </w:r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4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habitaclia</w:t>
        </w:r>
        <w:proofErr w:type="spellEnd"/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5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coches.net</w:t>
        </w:r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6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motos.net</w:t>
        </w:r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 y </w:t>
      </w:r>
      <w:hyperlink r:id="rId27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milanuncios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.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Spain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 forma parte del grupo internacional de origen noruego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 Media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Group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, que está presente en más de 30 países y cuenta con 6.800 empleados. Más información en la </w:t>
      </w:r>
      <w:hyperlink r:id="rId28" w:history="1"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 xml:space="preserve">web de </w:t>
        </w:r>
        <w:proofErr w:type="spellStart"/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 xml:space="preserve"> Media </w:t>
        </w:r>
        <w:proofErr w:type="spellStart"/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>Group</w:t>
        </w:r>
        <w:proofErr w:type="spellEnd"/>
      </w:hyperlink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.</w:t>
      </w:r>
    </w:p>
    <w:p w:rsidR="00AD3BC9" w:rsidRPr="001606E5" w:rsidRDefault="00AD3BC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6F6A28" w:rsidRDefault="006F6A28" w:rsidP="00AD3BC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4B4C57" w:rsidRDefault="004B4C57" w:rsidP="00AD3BC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AF0800" w:rsidRDefault="00AF0800" w:rsidP="00AD3BC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6F6A28" w:rsidRPr="006F6A28" w:rsidRDefault="006F6A28" w:rsidP="006F6A28">
      <w:pPr>
        <w:pStyle w:val="Cuerpo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6F6A28">
        <w:rPr>
          <w:rStyle w:val="Ninguno"/>
          <w:rFonts w:ascii="Open Sans Light" w:hAnsi="Open Sans Light" w:cs="Gisha"/>
          <w:b/>
          <w:color w:val="00AAAB"/>
        </w:rPr>
        <w:t xml:space="preserve">Departamento de Comunicación de </w:t>
      </w:r>
      <w:proofErr w:type="spellStart"/>
      <w:r w:rsidRPr="006F6A28">
        <w:rPr>
          <w:rStyle w:val="Ninguno"/>
          <w:rFonts w:ascii="Open Sans Light" w:hAnsi="Open Sans Light" w:cs="Gisha"/>
          <w:b/>
          <w:color w:val="00AAAB"/>
        </w:rPr>
        <w:t>fotocasa</w:t>
      </w:r>
      <w:proofErr w:type="spellEnd"/>
    </w:p>
    <w:p w:rsidR="001E55E9" w:rsidRPr="00CE21FC" w:rsidRDefault="006F6A28" w:rsidP="006F6A28">
      <w:pPr>
        <w:autoSpaceDE w:val="0"/>
        <w:autoSpaceDN w:val="0"/>
        <w:adjustRightInd w:val="0"/>
        <w:jc w:val="right"/>
        <w:rPr>
          <w:rFonts w:ascii="Open Sans Light" w:hAnsi="Open Sans Light" w:cs="Gisha"/>
          <w:lang w:val="en-US"/>
        </w:rPr>
      </w:pPr>
      <w:r w:rsidRPr="00CE21FC">
        <w:rPr>
          <w:rFonts w:ascii="Open Sans Light" w:hAnsi="Open Sans Light" w:cs="Gisha"/>
          <w:b/>
          <w:bCs/>
          <w:lang w:val="en-US"/>
        </w:rPr>
        <w:t>Anaïs López</w:t>
      </w:r>
      <w:r w:rsidRPr="00CE21FC">
        <w:rPr>
          <w:rFonts w:ascii="Open Sans Light" w:eastAsia="MingLiU" w:hAnsi="Open Sans Light" w:cs="MingLiU"/>
          <w:lang w:val="en-US"/>
        </w:rPr>
        <w:br/>
      </w:r>
      <w:proofErr w:type="spellStart"/>
      <w:proofErr w:type="gramStart"/>
      <w:r w:rsidRPr="00CE21FC">
        <w:rPr>
          <w:rFonts w:ascii="Open Sans Light" w:hAnsi="Open Sans Light" w:cs="Gisha"/>
          <w:lang w:val="en-US"/>
        </w:rPr>
        <w:t>Tlf</w:t>
      </w:r>
      <w:proofErr w:type="spellEnd"/>
      <w:r w:rsidRPr="00CE21FC">
        <w:rPr>
          <w:rFonts w:ascii="Open Sans Light" w:hAnsi="Open Sans Light" w:cs="Gisha"/>
          <w:lang w:val="en-US"/>
        </w:rPr>
        <w:t>.:</w:t>
      </w:r>
      <w:proofErr w:type="gramEnd"/>
      <w:r w:rsidRPr="00CE21FC">
        <w:rPr>
          <w:rFonts w:ascii="Open Sans Light" w:hAnsi="Open Sans Light" w:cs="Gisha"/>
          <w:lang w:val="en-US"/>
        </w:rPr>
        <w:t xml:space="preserve"> 93 576 56 79 </w:t>
      </w:r>
      <w:r w:rsidRPr="00CE21FC">
        <w:rPr>
          <w:rFonts w:ascii="Open Sans Light" w:eastAsia="MingLiU" w:hAnsi="Open Sans Light" w:cs="MingLiU"/>
          <w:lang w:val="en-US"/>
        </w:rPr>
        <w:br/>
      </w:r>
      <w:proofErr w:type="spellStart"/>
      <w:r w:rsidRPr="00CE21FC">
        <w:rPr>
          <w:rFonts w:ascii="Open Sans Light" w:hAnsi="Open Sans Light" w:cs="Gisha"/>
          <w:lang w:val="en-US"/>
        </w:rPr>
        <w:t>Móvil</w:t>
      </w:r>
      <w:proofErr w:type="spellEnd"/>
      <w:r w:rsidRPr="00CE21FC">
        <w:rPr>
          <w:rFonts w:ascii="Open Sans Light" w:hAnsi="Open Sans Light" w:cs="Gisha"/>
          <w:lang w:val="en-US"/>
        </w:rPr>
        <w:t>: 620 66 29 26</w:t>
      </w:r>
      <w:r w:rsidRPr="00CE21FC">
        <w:rPr>
          <w:rFonts w:ascii="Open Sans Light" w:eastAsia="MingLiU" w:hAnsi="Open Sans Light" w:cs="MingLiU"/>
          <w:lang w:val="en-US"/>
        </w:rPr>
        <w:br/>
      </w:r>
      <w:hyperlink r:id="rId29" w:history="1">
        <w:r w:rsidRPr="00CE21FC">
          <w:rPr>
            <w:rStyle w:val="Hyperlink1"/>
            <w:rFonts w:ascii="Open Sans Light" w:hAnsi="Open Sans Light"/>
          </w:rPr>
          <w:t>comunicacion@fotocasa.es</w:t>
        </w:r>
      </w:hyperlink>
      <w:r w:rsidRPr="00CE21FC">
        <w:rPr>
          <w:rStyle w:val="Ninguno"/>
          <w:rFonts w:ascii="Open Sans Light" w:hAnsi="Open Sans Light" w:cs="Gisha"/>
          <w:lang w:val="en-US"/>
        </w:rPr>
        <w:t xml:space="preserve"> </w:t>
      </w:r>
      <w:r w:rsidRPr="00CE21FC">
        <w:rPr>
          <w:rStyle w:val="Ninguno"/>
          <w:rFonts w:ascii="Open Sans Light" w:hAnsi="Open Sans Light" w:cs="Gisha"/>
          <w:lang w:val="en-US"/>
        </w:rPr>
        <w:br/>
      </w:r>
      <w:hyperlink r:id="rId30" w:history="1">
        <w:r w:rsidRPr="00CE21FC">
          <w:rPr>
            <w:rStyle w:val="Hyperlink1"/>
            <w:rFonts w:ascii="Open Sans Light" w:hAnsi="Open Sans Light"/>
          </w:rPr>
          <w:t>http://prensa.fotocasa.es</w:t>
        </w:r>
      </w:hyperlink>
      <w:r w:rsidRPr="00CE21FC">
        <w:rPr>
          <w:rStyle w:val="Ninguno"/>
          <w:rFonts w:ascii="Open Sans Light" w:hAnsi="Open Sans Light" w:cs="Gisha"/>
          <w:lang w:val="en-US"/>
        </w:rPr>
        <w:t xml:space="preserve"> </w:t>
      </w:r>
      <w:r w:rsidRPr="00CE21FC">
        <w:rPr>
          <w:rStyle w:val="Ninguno"/>
          <w:rFonts w:ascii="Open Sans Light" w:hAnsi="Open Sans Light" w:cs="Gisha"/>
          <w:lang w:val="en-US"/>
        </w:rPr>
        <w:br/>
        <w:t>twitter: @</w:t>
      </w:r>
      <w:proofErr w:type="spellStart"/>
      <w:r w:rsidRPr="00CE21FC">
        <w:rPr>
          <w:rStyle w:val="Ninguno"/>
          <w:rFonts w:ascii="Open Sans Light" w:hAnsi="Open Sans Light" w:cs="Gisha"/>
          <w:lang w:val="en-US"/>
        </w:rPr>
        <w:t>fotocasa</w:t>
      </w:r>
      <w:proofErr w:type="spellEnd"/>
    </w:p>
    <w:sectPr w:rsidR="001E55E9" w:rsidRPr="00CE21FC" w:rsidSect="0052608C">
      <w:footerReference w:type="default" r:id="rId31"/>
      <w:pgSz w:w="11900" w:h="16840"/>
      <w:pgMar w:top="1417" w:right="1126" w:bottom="1417" w:left="3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EB6" w:rsidRDefault="00274EB6" w:rsidP="0052608C">
      <w:r>
        <w:separator/>
      </w:r>
    </w:p>
  </w:endnote>
  <w:endnote w:type="continuationSeparator" w:id="0">
    <w:p w:rsidR="00274EB6" w:rsidRDefault="00274EB6" w:rsidP="0052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EB6" w:rsidRDefault="00274EB6">
    <w:pPr>
      <w:pStyle w:val="Piedepgina"/>
      <w:rPr>
        <w:lang w:val="es-ES"/>
      </w:rPr>
    </w:pPr>
  </w:p>
  <w:p w:rsidR="00274EB6" w:rsidRDefault="00274EB6">
    <w:pPr>
      <w:pStyle w:val="Piedepgina"/>
      <w:rPr>
        <w:lang w:val="es-ES"/>
      </w:rPr>
    </w:pPr>
  </w:p>
  <w:p w:rsidR="00274EB6" w:rsidRDefault="00274EB6">
    <w:pPr>
      <w:pStyle w:val="Piedepgina"/>
      <w:rPr>
        <w:lang w:val="es-ES"/>
      </w:rPr>
    </w:pPr>
  </w:p>
  <w:p w:rsidR="00274EB6" w:rsidRPr="0052608C" w:rsidRDefault="00274EB6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EB6" w:rsidRDefault="00274EB6" w:rsidP="0052608C">
      <w:r>
        <w:separator/>
      </w:r>
    </w:p>
  </w:footnote>
  <w:footnote w:type="continuationSeparator" w:id="0">
    <w:p w:rsidR="00274EB6" w:rsidRDefault="00274EB6" w:rsidP="00526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2FEA"/>
    <w:multiLevelType w:val="hybridMultilevel"/>
    <w:tmpl w:val="A6CC5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81C16"/>
    <w:multiLevelType w:val="hybridMultilevel"/>
    <w:tmpl w:val="5D8C24C2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C354B6E"/>
    <w:multiLevelType w:val="multilevel"/>
    <w:tmpl w:val="AA8A2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106D8"/>
    <w:multiLevelType w:val="hybridMultilevel"/>
    <w:tmpl w:val="E3F266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3C"/>
    <w:rsid w:val="000124D2"/>
    <w:rsid w:val="00051CE3"/>
    <w:rsid w:val="000A6F17"/>
    <w:rsid w:val="000D0329"/>
    <w:rsid w:val="001B2FB6"/>
    <w:rsid w:val="001C2065"/>
    <w:rsid w:val="001E55E9"/>
    <w:rsid w:val="001E7D13"/>
    <w:rsid w:val="0025238E"/>
    <w:rsid w:val="00274EB6"/>
    <w:rsid w:val="00280EA2"/>
    <w:rsid w:val="002C5640"/>
    <w:rsid w:val="002C6ABE"/>
    <w:rsid w:val="002D46B2"/>
    <w:rsid w:val="0030499F"/>
    <w:rsid w:val="00343A5F"/>
    <w:rsid w:val="00365EE5"/>
    <w:rsid w:val="0039014E"/>
    <w:rsid w:val="0039423B"/>
    <w:rsid w:val="003C30FC"/>
    <w:rsid w:val="003D145C"/>
    <w:rsid w:val="004059AB"/>
    <w:rsid w:val="00494E18"/>
    <w:rsid w:val="00496FC0"/>
    <w:rsid w:val="004A1967"/>
    <w:rsid w:val="004A3A78"/>
    <w:rsid w:val="004B4C57"/>
    <w:rsid w:val="004D57DF"/>
    <w:rsid w:val="0052608C"/>
    <w:rsid w:val="00544478"/>
    <w:rsid w:val="00581A73"/>
    <w:rsid w:val="005C0891"/>
    <w:rsid w:val="005F2FCA"/>
    <w:rsid w:val="005F68CC"/>
    <w:rsid w:val="00656A26"/>
    <w:rsid w:val="006721D9"/>
    <w:rsid w:val="006942AC"/>
    <w:rsid w:val="006B3404"/>
    <w:rsid w:val="006C4D78"/>
    <w:rsid w:val="006F6A28"/>
    <w:rsid w:val="00700B0C"/>
    <w:rsid w:val="00717444"/>
    <w:rsid w:val="0076154B"/>
    <w:rsid w:val="00763F0F"/>
    <w:rsid w:val="00794CAF"/>
    <w:rsid w:val="007A55E0"/>
    <w:rsid w:val="007A7435"/>
    <w:rsid w:val="007F1B5B"/>
    <w:rsid w:val="007F515C"/>
    <w:rsid w:val="0080280E"/>
    <w:rsid w:val="008272BE"/>
    <w:rsid w:val="008339F2"/>
    <w:rsid w:val="008E2E5F"/>
    <w:rsid w:val="008F7E36"/>
    <w:rsid w:val="00905EAB"/>
    <w:rsid w:val="009076F5"/>
    <w:rsid w:val="009268A2"/>
    <w:rsid w:val="00955FEC"/>
    <w:rsid w:val="0096024D"/>
    <w:rsid w:val="0097084C"/>
    <w:rsid w:val="00981033"/>
    <w:rsid w:val="009C25EF"/>
    <w:rsid w:val="009D47E2"/>
    <w:rsid w:val="009D6A0D"/>
    <w:rsid w:val="00A03011"/>
    <w:rsid w:val="00A15D84"/>
    <w:rsid w:val="00A24EAA"/>
    <w:rsid w:val="00A32328"/>
    <w:rsid w:val="00A57AEE"/>
    <w:rsid w:val="00A6150B"/>
    <w:rsid w:val="00AB3E96"/>
    <w:rsid w:val="00AB5432"/>
    <w:rsid w:val="00AD3BC9"/>
    <w:rsid w:val="00AD62DD"/>
    <w:rsid w:val="00AF0800"/>
    <w:rsid w:val="00B0486E"/>
    <w:rsid w:val="00B15E37"/>
    <w:rsid w:val="00B32076"/>
    <w:rsid w:val="00B47483"/>
    <w:rsid w:val="00B81DEC"/>
    <w:rsid w:val="00B94209"/>
    <w:rsid w:val="00BA1ECD"/>
    <w:rsid w:val="00BA3718"/>
    <w:rsid w:val="00BC0CC9"/>
    <w:rsid w:val="00BE2674"/>
    <w:rsid w:val="00BF7329"/>
    <w:rsid w:val="00C05298"/>
    <w:rsid w:val="00C521E4"/>
    <w:rsid w:val="00C9675A"/>
    <w:rsid w:val="00CE21FC"/>
    <w:rsid w:val="00CE3E36"/>
    <w:rsid w:val="00D04B93"/>
    <w:rsid w:val="00D108F1"/>
    <w:rsid w:val="00D14BFC"/>
    <w:rsid w:val="00D15046"/>
    <w:rsid w:val="00D236C5"/>
    <w:rsid w:val="00D26732"/>
    <w:rsid w:val="00D2689E"/>
    <w:rsid w:val="00D45BDE"/>
    <w:rsid w:val="00E8133B"/>
    <w:rsid w:val="00E8753C"/>
    <w:rsid w:val="00EB7C25"/>
    <w:rsid w:val="00EC1622"/>
    <w:rsid w:val="00EC221A"/>
    <w:rsid w:val="00ED5960"/>
    <w:rsid w:val="00F32CD0"/>
    <w:rsid w:val="00F33590"/>
    <w:rsid w:val="00F75E19"/>
    <w:rsid w:val="00FA0F76"/>
    <w:rsid w:val="00FD1077"/>
    <w:rsid w:val="00FD62C7"/>
    <w:rsid w:val="00FE1207"/>
    <w:rsid w:val="00FE735D"/>
    <w:rsid w:val="00F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D9917-BCDB-4442-98F4-94F283DE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08C"/>
  </w:style>
  <w:style w:type="paragraph" w:styleId="Piedepgina">
    <w:name w:val="footer"/>
    <w:basedOn w:val="Normal"/>
    <w:link w:val="Piedepgina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8C"/>
  </w:style>
  <w:style w:type="paragraph" w:styleId="Subttulo">
    <w:name w:val="Subtitle"/>
    <w:basedOn w:val="Normal"/>
    <w:next w:val="Normal"/>
    <w:link w:val="SubttuloCar"/>
    <w:uiPriority w:val="11"/>
    <w:qFormat/>
    <w:rsid w:val="001E55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E55E9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Cuerpo">
    <w:name w:val="Cuerpo"/>
    <w:rsid w:val="001E55E9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Ninguno">
    <w:name w:val="Ninguno"/>
    <w:rsid w:val="001E55E9"/>
    <w:rPr>
      <w:lang w:val="es-ES_tradnl"/>
    </w:rPr>
  </w:style>
  <w:style w:type="character" w:customStyle="1" w:styleId="Hyperlink1">
    <w:name w:val="Hyperlink.1"/>
    <w:basedOn w:val="Fuentedeprrafopredeter"/>
    <w:rsid w:val="001E55E9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  <w:style w:type="table" w:styleId="Tablaconcuadrcula">
    <w:name w:val="Table Grid"/>
    <w:basedOn w:val="Tablanormal"/>
    <w:uiPriority w:val="39"/>
    <w:rsid w:val="00E87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1">
    <w:name w:val="Grid Table 5 Dark Accent 1"/>
    <w:basedOn w:val="Tablanormal"/>
    <w:uiPriority w:val="50"/>
    <w:rsid w:val="00E875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BC0CC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21FC"/>
    <w:pPr>
      <w:ind w:left="720"/>
      <w:contextualSpacing/>
    </w:pPr>
  </w:style>
  <w:style w:type="paragraph" w:customStyle="1" w:styleId="Texto">
    <w:name w:val="Texto"/>
    <w:basedOn w:val="Normal"/>
    <w:uiPriority w:val="99"/>
    <w:rsid w:val="00FD62C7"/>
    <w:rPr>
      <w:rFonts w:ascii="Gill Sans MT" w:eastAsia="Times New Roman" w:hAnsi="Gill Sans MT" w:cs="Arial"/>
      <w:sz w:val="22"/>
      <w:szCs w:val="22"/>
      <w:lang w:val="pt-BR" w:eastAsia="es-ES"/>
    </w:rPr>
  </w:style>
  <w:style w:type="paragraph" w:customStyle="1" w:styleId="Listavistosa-nfasis11">
    <w:name w:val="Lista vistosa - Énfasis 11"/>
    <w:basedOn w:val="Normal"/>
    <w:qFormat/>
    <w:rsid w:val="00FD62C7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character" w:styleId="nfasis">
    <w:name w:val="Emphasis"/>
    <w:qFormat/>
    <w:rsid w:val="00FD62C7"/>
    <w:rPr>
      <w:i/>
      <w:iCs/>
    </w:rPr>
  </w:style>
  <w:style w:type="paragraph" w:styleId="Textodeglobo">
    <w:name w:val="Balloon Text"/>
    <w:basedOn w:val="Normal"/>
    <w:link w:val="TextodegloboCar"/>
    <w:uiPriority w:val="99"/>
    <w:rsid w:val="00D1504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15046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decuadrcula6concolores-nfasis1">
    <w:name w:val="Grid Table 6 Colorful Accent 1"/>
    <w:basedOn w:val="Tablanormal"/>
    <w:uiPriority w:val="51"/>
    <w:rsid w:val="000124D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hyperlink" Target="http://www.fotocasa.es/indice-inmobiliario__fotocasa.aspx" TargetMode="External"/><Relationship Id="rId26" Type="http://schemas.openxmlformats.org/officeDocument/2006/relationships/hyperlink" Target="http://motos.coches.ne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otocasa.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otocasa.es" TargetMode="External"/><Relationship Id="rId17" Type="http://schemas.openxmlformats.org/officeDocument/2006/relationships/hyperlink" Target="http://www.fotocasa.es" TargetMode="External"/><Relationship Id="rId25" Type="http://schemas.openxmlformats.org/officeDocument/2006/relationships/hyperlink" Target="http://www.coches.net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hyperlink" Target="http://www.schibsted.es/" TargetMode="External"/><Relationship Id="rId29" Type="http://schemas.openxmlformats.org/officeDocument/2006/relationships/hyperlink" Target="mailto:comunicacion@fotocasa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tocasa.es" TargetMode="External"/><Relationship Id="rId24" Type="http://schemas.openxmlformats.org/officeDocument/2006/relationships/hyperlink" Target="http://www.habitaclia.com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hyperlink" Target="https://www.infojobs.net/" TargetMode="External"/><Relationship Id="rId28" Type="http://schemas.openxmlformats.org/officeDocument/2006/relationships/hyperlink" Target="http://www.schibsted.com/en/" TargetMode="External"/><Relationship Id="rId10" Type="http://schemas.openxmlformats.org/officeDocument/2006/relationships/hyperlink" Target="http://www.fotocasa.es" TargetMode="External"/><Relationship Id="rId19" Type="http://schemas.openxmlformats.org/officeDocument/2006/relationships/hyperlink" Target="http://www.fotocasa.es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otocasa.es" TargetMode="External"/><Relationship Id="rId22" Type="http://schemas.openxmlformats.org/officeDocument/2006/relationships/hyperlink" Target="http://www.vibbo.com/" TargetMode="External"/><Relationship Id="rId27" Type="http://schemas.openxmlformats.org/officeDocument/2006/relationships/hyperlink" Target="http://www.milanuncios.es/" TargetMode="External"/><Relationship Id="rId30" Type="http://schemas.openxmlformats.org/officeDocument/2006/relationships/hyperlink" Target="http://prensa.fotocasa.es" TargetMode="External"/><Relationship Id="rId8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is.lopez\Documents\Plantillas%20personalizadas%20de%20Office\nota%20de%20prensa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01.corp.scmspain.com\prensa\Prensa%20Inmobiliaria\Fotocasa\NOTAS%20DE%20PRENSA\2017_NOTAS%20DE%20PRENSA\39.%20NdP%20alquiler%20tur&#237;stico\Gr&#225;fico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01.corp.scmspain.com\prensa\Prensa%20Inmobiliaria\Fotocasa\NOTAS%20DE%20PRENSA\2017_NOTAS%20DE%20PRENSA\39.%20NdP%20alquiler%20tur&#237;stico\Gr&#225;fico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6267242636337125"/>
          <c:y val="8.7301587301587297E-2"/>
          <c:w val="0.50543525809273837"/>
          <c:h val="0.7285851768528933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Hoja1!$A$3:$A$5</c:f>
              <c:strCache>
                <c:ptCount val="3"/>
                <c:pt idx="0">
                  <c:v>Hay barrios o calles en las que residen sobre todo extranjeros</c:v>
                </c:pt>
                <c:pt idx="1">
                  <c:v>Reduce la oferta de alquiler residencial</c:v>
                </c:pt>
                <c:pt idx="2">
                  <c:v>Hace que los precios suban</c:v>
                </c:pt>
              </c:strCache>
            </c:strRef>
          </c:cat>
          <c:val>
            <c:numRef>
              <c:f>Hoja1!$B$3:$B$5</c:f>
              <c:numCache>
                <c:formatCode>0%</c:formatCode>
                <c:ptCount val="3"/>
                <c:pt idx="0">
                  <c:v>0.13</c:v>
                </c:pt>
                <c:pt idx="1">
                  <c:v>0.34</c:v>
                </c:pt>
                <c:pt idx="2">
                  <c:v>0.51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72846432"/>
        <c:axId val="1572849696"/>
      </c:barChart>
      <c:catAx>
        <c:axId val="15728464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572849696"/>
        <c:crosses val="autoZero"/>
        <c:auto val="1"/>
        <c:lblAlgn val="ctr"/>
        <c:lblOffset val="100"/>
        <c:noMultiLvlLbl val="0"/>
      </c:catAx>
      <c:valAx>
        <c:axId val="1572849696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572846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Hoja2!$A$3:$A$8</c:f>
              <c:strCache>
                <c:ptCount val="6"/>
                <c:pt idx="0">
                  <c:v>Más de un 20%</c:v>
                </c:pt>
                <c:pt idx="1">
                  <c:v>Entre un 15 y un 20%</c:v>
                </c:pt>
                <c:pt idx="2">
                  <c:v>Entre un 10 y un 15%</c:v>
                </c:pt>
                <c:pt idx="3">
                  <c:v>Entre un 5 y un 10%</c:v>
                </c:pt>
                <c:pt idx="4">
                  <c:v>Entre un 1 y un 5%</c:v>
                </c:pt>
                <c:pt idx="5">
                  <c:v>Menos de un 1%</c:v>
                </c:pt>
              </c:strCache>
            </c:strRef>
          </c:cat>
          <c:val>
            <c:numRef>
              <c:f>Hoja2!$B$3:$B$8</c:f>
              <c:numCache>
                <c:formatCode>0%</c:formatCode>
                <c:ptCount val="6"/>
                <c:pt idx="0">
                  <c:v>7.0000000000000007E-2</c:v>
                </c:pt>
                <c:pt idx="1">
                  <c:v>0.1</c:v>
                </c:pt>
                <c:pt idx="2">
                  <c:v>0.24</c:v>
                </c:pt>
                <c:pt idx="3">
                  <c:v>0.32</c:v>
                </c:pt>
                <c:pt idx="4">
                  <c:v>0.24</c:v>
                </c:pt>
                <c:pt idx="5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72846976"/>
        <c:axId val="1572860032"/>
      </c:barChart>
      <c:catAx>
        <c:axId val="15728469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572860032"/>
        <c:crosses val="autoZero"/>
        <c:auto val="1"/>
        <c:lblAlgn val="ctr"/>
        <c:lblOffset val="100"/>
        <c:noMultiLvlLbl val="0"/>
      </c:catAx>
      <c:valAx>
        <c:axId val="1572860032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572846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Hoja3!$B$2</c:f>
              <c:strCache>
                <c:ptCount val="1"/>
                <c:pt idx="0">
                  <c:v>Está buscando vivienda para alquilar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-1.66666666666666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2222222222222223E-2"/>
                  <c:y val="4.62962962962962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8.3333333333333454E-3"/>
                  <c:y val="1.3888888888888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Hoja3!$A$3:$A$8</c:f>
              <c:strCache>
                <c:ptCount val="6"/>
                <c:pt idx="0">
                  <c:v>Menos de un 1%</c:v>
                </c:pt>
                <c:pt idx="1">
                  <c:v>Entre un 1 y un 5%</c:v>
                </c:pt>
                <c:pt idx="2">
                  <c:v>Entre un 5 y un 10%</c:v>
                </c:pt>
                <c:pt idx="3">
                  <c:v>Entre un 10 y un 15%</c:v>
                </c:pt>
                <c:pt idx="4">
                  <c:v>Entre un 15 y un 20%</c:v>
                </c:pt>
                <c:pt idx="5">
                  <c:v>Más de un 20%</c:v>
                </c:pt>
              </c:strCache>
            </c:strRef>
          </c:cat>
          <c:val>
            <c:numRef>
              <c:f>Hoja3!$B$3:$B$8</c:f>
              <c:numCache>
                <c:formatCode>0%</c:formatCode>
                <c:ptCount val="6"/>
                <c:pt idx="0">
                  <c:v>0.01</c:v>
                </c:pt>
                <c:pt idx="1">
                  <c:v>0.21</c:v>
                </c:pt>
                <c:pt idx="2">
                  <c:v>0.25</c:v>
                </c:pt>
                <c:pt idx="3">
                  <c:v>0.28000000000000003</c:v>
                </c:pt>
                <c:pt idx="4">
                  <c:v>0.15</c:v>
                </c:pt>
                <c:pt idx="5">
                  <c:v>0.09</c:v>
                </c:pt>
              </c:numCache>
            </c:numRef>
          </c:val>
        </c:ser>
        <c:ser>
          <c:idx val="1"/>
          <c:order val="1"/>
          <c:tx>
            <c:strRef>
              <c:f>Hoja3!$C$2</c:f>
              <c:strCache>
                <c:ptCount val="1"/>
                <c:pt idx="0">
                  <c:v>Ha encontrado vivienda de alquiler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2.2222222222222223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2222222222222171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Hoja3!$A$3:$A$8</c:f>
              <c:strCache>
                <c:ptCount val="6"/>
                <c:pt idx="0">
                  <c:v>Menos de un 1%</c:v>
                </c:pt>
                <c:pt idx="1">
                  <c:v>Entre un 1 y un 5%</c:v>
                </c:pt>
                <c:pt idx="2">
                  <c:v>Entre un 5 y un 10%</c:v>
                </c:pt>
                <c:pt idx="3">
                  <c:v>Entre un 10 y un 15%</c:v>
                </c:pt>
                <c:pt idx="4">
                  <c:v>Entre un 15 y un 20%</c:v>
                </c:pt>
                <c:pt idx="5">
                  <c:v>Más de un 20%</c:v>
                </c:pt>
              </c:strCache>
            </c:strRef>
          </c:cat>
          <c:val>
            <c:numRef>
              <c:f>Hoja3!$C$3:$C$8</c:f>
              <c:numCache>
                <c:formatCode>0%</c:formatCode>
                <c:ptCount val="6"/>
                <c:pt idx="0">
                  <c:v>0.02</c:v>
                </c:pt>
                <c:pt idx="1">
                  <c:v>0.22</c:v>
                </c:pt>
                <c:pt idx="2">
                  <c:v>0.28000000000000003</c:v>
                </c:pt>
                <c:pt idx="3">
                  <c:v>0.27</c:v>
                </c:pt>
                <c:pt idx="4">
                  <c:v>0.11</c:v>
                </c:pt>
                <c:pt idx="5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72860576"/>
        <c:axId val="1572851328"/>
      </c:barChart>
      <c:catAx>
        <c:axId val="1572860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572851328"/>
        <c:crosses val="autoZero"/>
        <c:auto val="1"/>
        <c:lblAlgn val="ctr"/>
        <c:lblOffset val="100"/>
        <c:noMultiLvlLbl val="0"/>
      </c:catAx>
      <c:valAx>
        <c:axId val="1572851328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572860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9DB400-1144-45A5-AFE6-F92BDB08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de prensa</Template>
  <TotalTime>881</TotalTime>
  <Pages>4</Pages>
  <Words>991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López García</dc:creator>
  <cp:keywords/>
  <dc:description/>
  <cp:lastModifiedBy>Anaïs López García</cp:lastModifiedBy>
  <cp:revision>78</cp:revision>
  <cp:lastPrinted>2017-04-20T07:49:00Z</cp:lastPrinted>
  <dcterms:created xsi:type="dcterms:W3CDTF">2017-03-02T14:09:00Z</dcterms:created>
  <dcterms:modified xsi:type="dcterms:W3CDTF">2017-06-27T06:47:00Z</dcterms:modified>
</cp:coreProperties>
</file>