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261FA6" w:rsidP="00261FA6">
            <w:pPr>
              <w:spacing w:before="240" w:after="240"/>
              <w:jc w:val="center"/>
              <w:rPr>
                <w:rFonts w:ascii="Gill Sans MT" w:hAnsi="Gill Sans MT"/>
                <w:color w:val="023E68"/>
                <w:sz w:val="52"/>
                <w:szCs w:val="56"/>
              </w:rPr>
            </w:pPr>
            <w:r w:rsidRPr="00261FA6">
              <w:rPr>
                <w:rFonts w:ascii="Gill Sans MT" w:hAnsi="Gill Sans MT" w:cs="Gill Sans MT"/>
                <w:b/>
                <w:color w:val="808080"/>
                <w:sz w:val="32"/>
                <w:szCs w:val="32"/>
              </w:rPr>
              <w:t>Balanc</w:t>
            </w:r>
            <w:r>
              <w:rPr>
                <w:rFonts w:ascii="Gill Sans MT" w:hAnsi="Gill Sans MT" w:cs="Gill Sans MT"/>
                <w:b/>
                <w:color w:val="808080"/>
                <w:sz w:val="32"/>
                <w:szCs w:val="32"/>
              </w:rPr>
              <w:t xml:space="preserve">e </w:t>
            </w:r>
            <w:r w:rsidRPr="00261FA6">
              <w:rPr>
                <w:rFonts w:ascii="Gill Sans MT" w:hAnsi="Gill Sans MT" w:cs="Gill Sans MT"/>
                <w:b/>
                <w:color w:val="808080"/>
                <w:sz w:val="32"/>
                <w:szCs w:val="32"/>
              </w:rPr>
              <w:t>2016 y perspectivas 2017</w:t>
            </w:r>
            <w:r>
              <w:rPr>
                <w:rFonts w:ascii="Gill Sans MT" w:hAnsi="Gill Sans MT"/>
                <w:color w:val="023E68"/>
                <w:sz w:val="52"/>
                <w:szCs w:val="56"/>
              </w:rPr>
              <w:br/>
            </w:r>
            <w:r w:rsidR="00D37C3B">
              <w:rPr>
                <w:rFonts w:ascii="Gill Sans MT" w:hAnsi="Gill Sans MT"/>
                <w:color w:val="023E68"/>
                <w:sz w:val="52"/>
                <w:szCs w:val="56"/>
              </w:rPr>
              <w:br/>
            </w:r>
            <w:r w:rsidR="00F10552" w:rsidRPr="00F10552">
              <w:rPr>
                <w:rFonts w:ascii="Gill Sans MT" w:hAnsi="Gill Sans MT"/>
                <w:color w:val="023E68"/>
                <w:sz w:val="52"/>
                <w:szCs w:val="56"/>
              </w:rPr>
              <w:t>“</w:t>
            </w:r>
            <w:r w:rsidRPr="00261FA6">
              <w:rPr>
                <w:rFonts w:ascii="Gill Sans MT" w:hAnsi="Gill Sans MT"/>
                <w:color w:val="023E68"/>
                <w:sz w:val="52"/>
                <w:szCs w:val="56"/>
              </w:rPr>
              <w:t>2017 será el año de la recuperación del sector inmobiliario</w:t>
            </w:r>
            <w:r w:rsidR="00FD6B91" w:rsidRPr="00FD6B91">
              <w:rPr>
                <w:rFonts w:ascii="Gill Sans MT" w:hAnsi="Gill Sans MT"/>
                <w:color w:val="023E68"/>
                <w:sz w:val="52"/>
                <w:szCs w:val="56"/>
              </w:rPr>
              <w:t>”</w:t>
            </w:r>
          </w:p>
          <w:p w:rsidR="00261FA6" w:rsidRPr="00261FA6" w:rsidRDefault="00261FA6" w:rsidP="00847108">
            <w:pPr>
              <w:numPr>
                <w:ilvl w:val="0"/>
                <w:numId w:val="8"/>
              </w:numPr>
              <w:autoSpaceDE w:val="0"/>
              <w:autoSpaceDN w:val="0"/>
              <w:adjustRightInd w:val="0"/>
              <w:jc w:val="both"/>
              <w:rPr>
                <w:rFonts w:ascii="Gill Sans MT" w:hAnsi="Gill Sans MT" w:cs="Gill Sans MT"/>
              </w:rPr>
            </w:pPr>
            <w:r w:rsidRPr="00261FA6">
              <w:rPr>
                <w:rFonts w:ascii="Gill Sans MT" w:hAnsi="Gill Sans MT" w:cs="Gill Sans MT"/>
              </w:rPr>
              <w:t>Por primera vez en nueve años, el Índice Inmobiliario fotocasa cerrará 2016 con una subida en el precio de la vivienda en torno al 1%</w:t>
            </w:r>
          </w:p>
          <w:p w:rsidR="00261FA6" w:rsidRPr="00261FA6" w:rsidRDefault="00261FA6" w:rsidP="00847108">
            <w:pPr>
              <w:numPr>
                <w:ilvl w:val="0"/>
                <w:numId w:val="8"/>
              </w:numPr>
              <w:autoSpaceDE w:val="0"/>
              <w:autoSpaceDN w:val="0"/>
              <w:adjustRightInd w:val="0"/>
              <w:jc w:val="both"/>
              <w:rPr>
                <w:rFonts w:ascii="Gill Sans MT" w:hAnsi="Gill Sans MT" w:cs="Gill Sans MT"/>
              </w:rPr>
            </w:pPr>
            <w:r w:rsidRPr="00261FA6">
              <w:rPr>
                <w:rFonts w:ascii="Gill Sans MT" w:hAnsi="Gill Sans MT" w:cs="Gill Sans MT"/>
              </w:rPr>
              <w:t>Una recuperación por zonas, las hipotecas a tipo fijo y la fuerza del mercado del alquiler, los grandes cambios de este año</w:t>
            </w:r>
          </w:p>
          <w:p w:rsidR="00261FA6" w:rsidRDefault="00261FA6" w:rsidP="00847108">
            <w:pPr>
              <w:numPr>
                <w:ilvl w:val="0"/>
                <w:numId w:val="8"/>
              </w:numPr>
              <w:autoSpaceDE w:val="0"/>
              <w:autoSpaceDN w:val="0"/>
              <w:adjustRightInd w:val="0"/>
              <w:jc w:val="both"/>
              <w:rPr>
                <w:rFonts w:ascii="Gill Sans MT" w:hAnsi="Gill Sans MT" w:cs="Gill Sans MT"/>
              </w:rPr>
            </w:pPr>
            <w:r w:rsidRPr="00261FA6">
              <w:rPr>
                <w:rFonts w:ascii="Gill Sans MT" w:hAnsi="Gill Sans MT" w:cs="Gill Sans MT"/>
              </w:rPr>
              <w:t xml:space="preserve">El precio del alquiler registrará una subida interanual de casi el 4%, la más alta del histórico de fotocasa </w:t>
            </w:r>
          </w:p>
          <w:p w:rsidR="00847108" w:rsidRDefault="00847108" w:rsidP="00847108">
            <w:pPr>
              <w:numPr>
                <w:ilvl w:val="0"/>
                <w:numId w:val="8"/>
              </w:numPr>
              <w:autoSpaceDE w:val="0"/>
              <w:autoSpaceDN w:val="0"/>
              <w:adjustRightInd w:val="0"/>
              <w:jc w:val="both"/>
              <w:rPr>
                <w:rFonts w:ascii="Gill Sans MT" w:hAnsi="Gill Sans MT" w:cs="Gill Sans MT"/>
              </w:rPr>
            </w:pPr>
            <w:r>
              <w:rPr>
                <w:rFonts w:ascii="Gill Sans MT" w:hAnsi="Gill Sans MT" w:cs="Gill Sans MT"/>
              </w:rPr>
              <w:t xml:space="preserve">La responsable de Estudios de </w:t>
            </w:r>
            <w:proofErr w:type="spellStart"/>
            <w:r>
              <w:rPr>
                <w:rFonts w:ascii="Gill Sans MT" w:hAnsi="Gill Sans MT" w:cs="Gill Sans MT"/>
              </w:rPr>
              <w:t>fotocasa</w:t>
            </w:r>
            <w:proofErr w:type="spellEnd"/>
            <w:r>
              <w:rPr>
                <w:rFonts w:ascii="Gill Sans MT" w:hAnsi="Gill Sans MT" w:cs="Gill Sans MT"/>
              </w:rPr>
              <w:t xml:space="preserve"> estará en directo a las 13:00 para hablar de las previsiones inmobiliarias para 2017. Se puede seguir el </w:t>
            </w:r>
            <w:proofErr w:type="spellStart"/>
            <w:r>
              <w:rPr>
                <w:rFonts w:ascii="Gill Sans MT" w:hAnsi="Gill Sans MT" w:cs="Gill Sans MT"/>
              </w:rPr>
              <w:t>webinar</w:t>
            </w:r>
            <w:proofErr w:type="spellEnd"/>
            <w:r>
              <w:rPr>
                <w:rFonts w:ascii="Gill Sans MT" w:hAnsi="Gill Sans MT" w:cs="Gill Sans MT"/>
              </w:rPr>
              <w:t xml:space="preserve"> en </w:t>
            </w:r>
            <w:hyperlink r:id="rId11" w:history="1">
              <w:r>
                <w:rPr>
                  <w:rStyle w:val="Hipervnculo"/>
                  <w:rFonts w:ascii="Gill Sans MT" w:hAnsi="Gill Sans MT" w:cs="Gill Sans MT"/>
                </w:rPr>
                <w:t>este link</w:t>
              </w:r>
            </w:hyperlink>
            <w:r>
              <w:rPr>
                <w:rFonts w:ascii="Gill Sans MT" w:hAnsi="Gill Sans MT" w:cs="Gill Sans MT"/>
              </w:rPr>
              <w:t xml:space="preserve">. </w:t>
            </w:r>
          </w:p>
          <w:p w:rsidR="00261FA6" w:rsidRDefault="00261FA6" w:rsidP="007629AE">
            <w:pPr>
              <w:autoSpaceDE w:val="0"/>
              <w:autoSpaceDN w:val="0"/>
              <w:adjustRightInd w:val="0"/>
              <w:jc w:val="both"/>
              <w:rPr>
                <w:rFonts w:ascii="Gill Sans MT" w:hAnsi="Gill Sans MT" w:cs="Gill Sans MT"/>
                <w:b/>
                <w:bCs/>
                <w:color w:val="999999"/>
              </w:rPr>
            </w:pPr>
          </w:p>
          <w:p w:rsidR="00847108" w:rsidRDefault="00847108"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261FA6">
              <w:rPr>
                <w:rFonts w:ascii="Gill Sans MT" w:hAnsi="Gill Sans MT" w:cs="Gill Sans MT"/>
                <w:b/>
                <w:bCs/>
                <w:color w:val="999999"/>
              </w:rPr>
              <w:t>12</w:t>
            </w:r>
            <w:r w:rsidR="00EB1D25">
              <w:rPr>
                <w:rFonts w:ascii="Gill Sans MT" w:hAnsi="Gill Sans MT" w:cs="Gill Sans MT"/>
                <w:b/>
                <w:bCs/>
                <w:color w:val="999999"/>
              </w:rPr>
              <w:t xml:space="preserve"> de diciembre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El mercado inmobiliario cierra un ejercicio muy positivo en el que se ha afianzado la reactivación que ya se inició en años anteriores. “En 2016 se ha confirmado el buen momento que vive el sector tras ocho años de ajuste. Pese a que el contexto político no ha acompañado, el mercado inmobiliario ha consolidado su tendencia hacia la normalización </w:t>
            </w:r>
            <w:r>
              <w:rPr>
                <w:rFonts w:ascii="Gill Sans MT" w:hAnsi="Gill Sans MT" w:cstheme="minorHAnsi"/>
              </w:rPr>
              <w:t>y sigue siendo muy atractivo</w:t>
            </w:r>
            <w:r w:rsidRPr="00B7750A">
              <w:rPr>
                <w:rFonts w:ascii="Gill Sans MT" w:hAnsi="Gill Sans MT" w:cstheme="minorHAnsi"/>
              </w:rPr>
              <w:t xml:space="preserve"> para el inversor. Todo apunta a que lo peor ha pasado, aunque la recuperación será lenta, moderada y muy desigual”, explica Beatriz Toribio, respon</w:t>
            </w:r>
            <w:r>
              <w:rPr>
                <w:rFonts w:ascii="Gill Sans MT" w:hAnsi="Gill Sans MT" w:cstheme="minorHAnsi"/>
              </w:rPr>
              <w:t xml:space="preserve">sable de Estudios de </w:t>
            </w:r>
            <w:hyperlink r:id="rId12" w:history="1">
              <w:r w:rsidRPr="004C2497">
                <w:rPr>
                  <w:rStyle w:val="Hipervnculo"/>
                  <w:rFonts w:ascii="Gill Sans MT" w:hAnsi="Gill Sans MT" w:cstheme="minorHAnsi"/>
                </w:rPr>
                <w:t>fotocasa</w:t>
              </w:r>
            </w:hyperlink>
            <w:r>
              <w:rPr>
                <w:rFonts w:ascii="Gill Sans MT" w:hAnsi="Gill Sans MT" w:cstheme="minorHAnsi"/>
              </w:rPr>
              <w:t>.</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La vuelta de una mayor y mejor financiación, la estabilización de los precios, el apetito inversor en un contexto de bajos tipos de interés y un panorama macroeconómico más alentador explican los buenos datos que ofrecen las diferentes estadísticas que miden el pulso del mercado.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“Cerraremos 2016 con más de 410.000 operaciones de compraventa y unas 280.000 hipotecas concedidas, lo que supone incrementos en torno al 15% con respecto al año anterior; los visados crecen a un ritmo de casi el 40% y los precios se están estabilizando en casi todo el país tras caer un 45% desde los máximos de la crisis. Y a ello se une un mercado del alquiler más robusto que es imprescindible para el saneamiento de nuestro sector”, asegura Toribio. </w:t>
            </w:r>
          </w:p>
          <w:p w:rsidR="00261FA6" w:rsidRDefault="00261FA6" w:rsidP="00261FA6">
            <w:pPr>
              <w:jc w:val="both"/>
              <w:rPr>
                <w:rFonts w:ascii="Gill Sans MT" w:hAnsi="Gill Sans MT" w:cstheme="minorHAnsi"/>
                <w:b/>
              </w:rPr>
            </w:pPr>
            <w:r w:rsidRPr="004E255E">
              <w:rPr>
                <w:rFonts w:ascii="Gill Sans MT" w:hAnsi="Gill Sans MT" w:cstheme="minorHAnsi"/>
                <w:b/>
              </w:rPr>
              <w:lastRenderedPageBreak/>
              <w:t>Los precios suben por primera vez desde 2008</w:t>
            </w:r>
          </w:p>
          <w:p w:rsidR="00261FA6" w:rsidRPr="004E255E"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Esta mejoría se ha trasladado a los precios, que en este 2016 han registrado importantes repuntes en Cataluña, Madrid, Andalucía y Baleares, según los datos de </w:t>
            </w:r>
            <w:hyperlink r:id="rId13" w:history="1">
              <w:r w:rsidR="004C2497" w:rsidRPr="004C2497">
                <w:rPr>
                  <w:rStyle w:val="Hipervnculo"/>
                  <w:rFonts w:ascii="Gill Sans MT" w:hAnsi="Gill Sans MT" w:cstheme="minorHAnsi"/>
                </w:rPr>
                <w:t>fotocasa</w:t>
              </w:r>
            </w:hyperlink>
            <w:r w:rsidRPr="00B7750A">
              <w:rPr>
                <w:rFonts w:ascii="Gill Sans MT" w:hAnsi="Gill Sans MT" w:cstheme="minorHAnsi"/>
              </w:rPr>
              <w:t xml:space="preserve">. Por primera vez desde </w:t>
            </w:r>
            <w:r>
              <w:rPr>
                <w:rFonts w:ascii="Gill Sans MT" w:hAnsi="Gill Sans MT" w:cstheme="minorHAnsi"/>
              </w:rPr>
              <w:t>2007</w:t>
            </w:r>
            <w:r w:rsidRPr="00B7750A">
              <w:rPr>
                <w:rFonts w:ascii="Gill Sans MT" w:hAnsi="Gill Sans MT" w:cstheme="minorHAnsi"/>
              </w:rPr>
              <w:t>, el Índice</w:t>
            </w:r>
            <w:r>
              <w:rPr>
                <w:rFonts w:ascii="Gill Sans MT" w:hAnsi="Gill Sans MT" w:cstheme="minorHAnsi"/>
              </w:rPr>
              <w:t xml:space="preserve"> Inmobiliario fotocasa cerrará</w:t>
            </w:r>
            <w:r w:rsidRPr="00B7750A">
              <w:rPr>
                <w:rFonts w:ascii="Gill Sans MT" w:hAnsi="Gill Sans MT" w:cstheme="minorHAnsi"/>
              </w:rPr>
              <w:t xml:space="preserve"> el año con una</w:t>
            </w:r>
            <w:r>
              <w:rPr>
                <w:rFonts w:ascii="Gill Sans MT" w:hAnsi="Gill Sans MT" w:cstheme="minorHAnsi"/>
              </w:rPr>
              <w:t xml:space="preserve"> subida media interanual en torno al 1%, que contrasta con la caída del 0,8% de 2015 y sobre todo </w:t>
            </w:r>
            <w:r w:rsidRPr="00B7750A">
              <w:rPr>
                <w:rFonts w:ascii="Gill Sans MT" w:hAnsi="Gill Sans MT" w:cstheme="minorHAnsi"/>
              </w:rPr>
              <w:t xml:space="preserve">con el descenso del 6% de 2014 y del 10% en 2013.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Esta evolución demuestra, según Beatriz Toribio, que “el precio de la vivienda en España se está estabilizando </w:t>
            </w:r>
            <w:r>
              <w:rPr>
                <w:rFonts w:ascii="Gill Sans MT" w:hAnsi="Gill Sans MT" w:cstheme="minorHAnsi"/>
              </w:rPr>
              <w:t xml:space="preserve">y que se han acabado las grandes caídas a las que estábamos acostumbrados”. </w:t>
            </w:r>
          </w:p>
          <w:p w:rsidR="00261FA6"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Pr>
                <w:rFonts w:ascii="Gill Sans MT" w:hAnsi="Gill Sans MT" w:cstheme="minorHAnsi"/>
              </w:rPr>
              <w:t>C</w:t>
            </w:r>
            <w:r w:rsidRPr="00B7750A">
              <w:rPr>
                <w:rFonts w:ascii="Gill Sans MT" w:hAnsi="Gill Sans MT" w:cstheme="minorHAnsi"/>
              </w:rPr>
              <w:t xml:space="preserve">omo consecuencia de esta tendencia </w:t>
            </w:r>
            <w:r w:rsidR="004C2497">
              <w:rPr>
                <w:rFonts w:ascii="Gill Sans MT" w:hAnsi="Gill Sans MT" w:cstheme="minorHAnsi"/>
              </w:rPr>
              <w:t>a la normalización, el Índice f</w:t>
            </w:r>
            <w:r w:rsidRPr="00B7750A">
              <w:rPr>
                <w:rFonts w:ascii="Gill Sans MT" w:hAnsi="Gill Sans MT" w:cstheme="minorHAnsi"/>
              </w:rPr>
              <w:t xml:space="preserve">otocasa ha registrado fuertes oscilaciones a lo largo del presente ejercicio que continuarán durante 2017.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b/>
              </w:rPr>
            </w:pPr>
            <w:r w:rsidRPr="004E255E">
              <w:rPr>
                <w:rFonts w:ascii="Gill Sans MT" w:hAnsi="Gill Sans MT" w:cstheme="minorHAnsi"/>
                <w:b/>
              </w:rPr>
              <w:t>Un mercado a varias velocidades</w:t>
            </w:r>
          </w:p>
          <w:p w:rsidR="00261FA6" w:rsidRPr="004E255E"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Los datos del portal inmobiliario también reflejan una recuperación por zonas, con ciudades como </w:t>
            </w:r>
            <w:r>
              <w:rPr>
                <w:rFonts w:ascii="Gill Sans MT" w:hAnsi="Gill Sans MT" w:cstheme="minorHAnsi"/>
              </w:rPr>
              <w:t>Madrid y Barcelona</w:t>
            </w:r>
            <w:r w:rsidRPr="00B7750A">
              <w:rPr>
                <w:rFonts w:ascii="Gill Sans MT" w:hAnsi="Gill Sans MT" w:cstheme="minorHAnsi"/>
              </w:rPr>
              <w:t xml:space="preserve"> a la cabeza, donde los precios</w:t>
            </w:r>
            <w:r>
              <w:rPr>
                <w:rFonts w:ascii="Gill Sans MT" w:hAnsi="Gill Sans MT" w:cstheme="minorHAnsi"/>
              </w:rPr>
              <w:t xml:space="preserve"> repuntan a un ritmo interanual del 3</w:t>
            </w:r>
            <w:r w:rsidRPr="00B7750A">
              <w:rPr>
                <w:rFonts w:ascii="Gill Sans MT" w:hAnsi="Gill Sans MT" w:cstheme="minorHAnsi"/>
              </w:rPr>
              <w:t xml:space="preserve">% y </w:t>
            </w:r>
            <w:r>
              <w:rPr>
                <w:rFonts w:ascii="Gill Sans MT" w:hAnsi="Gill Sans MT" w:cstheme="minorHAnsi"/>
              </w:rPr>
              <w:t>7</w:t>
            </w:r>
            <w:r w:rsidRPr="00B7750A">
              <w:rPr>
                <w:rFonts w:ascii="Gill Sans MT" w:hAnsi="Gill Sans MT" w:cstheme="minorHAnsi"/>
              </w:rPr>
              <w:t>%, respectivamente. “A esta ‘liga’ podrían sumarse otras grandes ciudades</w:t>
            </w:r>
            <w:r>
              <w:rPr>
                <w:rFonts w:ascii="Gill Sans MT" w:hAnsi="Gill Sans MT" w:cstheme="minorHAnsi"/>
              </w:rPr>
              <w:t xml:space="preserve"> como Valencia</w:t>
            </w:r>
            <w:r w:rsidRPr="00DC213B">
              <w:rPr>
                <w:rFonts w:ascii="Gill Sans MT" w:hAnsi="Gill Sans MT" w:cstheme="minorHAnsi"/>
              </w:rPr>
              <w:t xml:space="preserve">, </w:t>
            </w:r>
            <w:r w:rsidRPr="00B7750A">
              <w:rPr>
                <w:rFonts w:ascii="Gill Sans MT" w:hAnsi="Gill Sans MT" w:cstheme="minorHAnsi"/>
              </w:rPr>
              <w:t xml:space="preserve">las islas y puntos turísticos de la costa mediterránea”, añade Toribio. En cambio, en localidades más pequeñas y regiones con amplio stock de vivienda y baja actividad económica, las caídas continúan.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 “En 2016 se han confirmado varios cambios que ha dejado la crisis en el mercado de la vivienda. El primero, las diferentes velocidades a las que se mueve el sector y que explican el comportamiento tan desigual de los precios y de las compraventas”, asegura la responsable de Estudios. “Aunque la mejoría del sector se irá extendiendo a más zonas, ésta es una nueva realidad con la que conviviremos durante mucho tiempo: ya no existe un único mercado inmobiliario sino varios”</w:t>
            </w:r>
            <w:r>
              <w:rPr>
                <w:rFonts w:ascii="Gill Sans MT" w:hAnsi="Gill Sans MT" w:cstheme="minorHAnsi"/>
              </w:rPr>
              <w:t>.</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b/>
              </w:rPr>
            </w:pPr>
            <w:r w:rsidRPr="004E255E">
              <w:rPr>
                <w:rFonts w:ascii="Gill Sans MT" w:hAnsi="Gill Sans MT" w:cstheme="minorHAnsi"/>
                <w:b/>
              </w:rPr>
              <w:t>Más cambios en el sector: hipotecas a tipo fijo y más alquiler</w:t>
            </w:r>
          </w:p>
          <w:p w:rsidR="00261FA6" w:rsidRPr="004E255E" w:rsidRDefault="00261FA6" w:rsidP="00261FA6">
            <w:pPr>
              <w:jc w:val="both"/>
              <w:rPr>
                <w:rFonts w:ascii="Gill Sans MT" w:hAnsi="Gill Sans MT" w:cstheme="minorHAnsi"/>
                <w:b/>
              </w:rPr>
            </w:pPr>
          </w:p>
          <w:p w:rsidR="00261FA6" w:rsidRPr="00B7750A" w:rsidRDefault="00261FA6" w:rsidP="00261FA6">
            <w:pPr>
              <w:jc w:val="both"/>
              <w:rPr>
                <w:rFonts w:ascii="Gill Sans MT" w:hAnsi="Gill Sans MT" w:cstheme="minorHAnsi"/>
              </w:rPr>
            </w:pPr>
            <w:r w:rsidRPr="00B7750A">
              <w:rPr>
                <w:rFonts w:ascii="Gill Sans MT" w:hAnsi="Gill Sans MT" w:cstheme="minorHAnsi"/>
              </w:rPr>
              <w:t>La vuelta de la financiación hipotecaria ha sido una de las claves más importantes del buen momento que vive el sector. Las entidades bancarias han consolidado su amplia oferta de productos y han puesto en el mercado nuevas formas de financiación muy interesantes para el mercado.</w:t>
            </w:r>
          </w:p>
          <w:p w:rsidR="00261FA6" w:rsidRDefault="00261FA6" w:rsidP="00261FA6">
            <w:pPr>
              <w:jc w:val="both"/>
              <w:rPr>
                <w:rFonts w:ascii="Gill Sans MT" w:hAnsi="Gill Sans MT" w:cstheme="minorHAnsi"/>
              </w:rPr>
            </w:pPr>
            <w:r w:rsidRPr="00B7750A">
              <w:rPr>
                <w:rFonts w:ascii="Gill Sans MT" w:hAnsi="Gill Sans MT" w:cstheme="minorHAnsi"/>
              </w:rPr>
              <w:t>“2016 ha sido el año de las hipotecas a tipo fijo. Este tipo de financiación era prácticamente inexistente y hoy representan casi el 30% de los préstamos que se cierran en nuestro país para adquirir una vivienda”, añade Beatriz Toribio.</w:t>
            </w:r>
          </w:p>
          <w:p w:rsidR="00261FA6" w:rsidRPr="00B7750A" w:rsidRDefault="00261FA6" w:rsidP="00261FA6">
            <w:pPr>
              <w:jc w:val="both"/>
              <w:rPr>
                <w:rFonts w:ascii="Gill Sans MT" w:hAnsi="Gill Sans MT" w:cstheme="minorHAnsi"/>
              </w:rPr>
            </w:pPr>
          </w:p>
          <w:p w:rsidR="00261FA6" w:rsidRPr="00B7750A" w:rsidRDefault="00261FA6" w:rsidP="00261FA6">
            <w:pPr>
              <w:jc w:val="both"/>
              <w:rPr>
                <w:rFonts w:ascii="Gill Sans MT" w:hAnsi="Gill Sans MT" w:cstheme="minorHAnsi"/>
              </w:rPr>
            </w:pPr>
            <w:r w:rsidRPr="00B7750A">
              <w:rPr>
                <w:rFonts w:ascii="Gill Sans MT" w:hAnsi="Gill Sans MT" w:cstheme="minorHAnsi"/>
              </w:rPr>
              <w:t xml:space="preserve">Este otro gran cambio que ha dejado el fuerte ajuste del sector se explica, según la responsable de Estudios de </w:t>
            </w:r>
            <w:hyperlink r:id="rId14" w:history="1">
              <w:r w:rsidR="009D18E2" w:rsidRPr="004C2497">
                <w:rPr>
                  <w:rStyle w:val="Hipervnculo"/>
                  <w:rFonts w:ascii="Gill Sans MT" w:hAnsi="Gill Sans MT" w:cstheme="minorHAnsi"/>
                </w:rPr>
                <w:t>fotocasa</w:t>
              </w:r>
            </w:hyperlink>
            <w:r w:rsidRPr="00B7750A">
              <w:rPr>
                <w:rFonts w:ascii="Gill Sans MT" w:hAnsi="Gill Sans MT" w:cstheme="minorHAnsi"/>
              </w:rPr>
              <w:t xml:space="preserve">, en el “creciente interés de los bancos por buscar fórmulas más rentables con las que hacer frente a los bajos tipos de interés y a un euríbor en mínimos históricos”. Esto ha </w:t>
            </w:r>
            <w:r w:rsidRPr="00B7750A">
              <w:rPr>
                <w:rFonts w:ascii="Gill Sans MT" w:hAnsi="Gill Sans MT" w:cstheme="minorHAnsi"/>
              </w:rPr>
              <w:lastRenderedPageBreak/>
              <w:t>coincidido con “la búsqueda de una mayor seguridad por parte de los nuevos compradores que, después de todo lo ocurrido en el pasado, prefieren pagar un poco más a cambio de no tener sustos en el futuro”.</w:t>
            </w:r>
          </w:p>
          <w:p w:rsidR="00261FA6" w:rsidRPr="0093020A"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b/>
              </w:rPr>
            </w:pPr>
            <w:r w:rsidRPr="004E255E">
              <w:rPr>
                <w:rFonts w:ascii="Gill Sans MT" w:hAnsi="Gill Sans MT" w:cstheme="minorHAnsi"/>
                <w:b/>
              </w:rPr>
              <w:t>El precio del alquiler sigue subiendo</w:t>
            </w:r>
          </w:p>
          <w:p w:rsidR="00261FA6" w:rsidRPr="004E255E"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rPr>
            </w:pPr>
            <w:r w:rsidRPr="00B7750A">
              <w:rPr>
                <w:rFonts w:ascii="Gill Sans MT" w:hAnsi="Gill Sans MT" w:cstheme="minorHAnsi"/>
              </w:rPr>
              <w:t>Por último, el otro gran cambio que ha vivido el sector es el auge del mercado del alqu</w:t>
            </w:r>
            <w:r>
              <w:rPr>
                <w:rFonts w:ascii="Gill Sans MT" w:hAnsi="Gill Sans MT" w:cstheme="minorHAnsi"/>
              </w:rPr>
              <w:t>iler, que a lo largo de 2016 y por segundo año consecutivo ha subido en casi todo el país. El Índice Inmobiliario</w:t>
            </w:r>
            <w:r w:rsidR="009D18E2">
              <w:rPr>
                <w:rFonts w:ascii="Gill Sans MT" w:hAnsi="Gill Sans MT" w:cstheme="minorHAnsi"/>
              </w:rPr>
              <w:t xml:space="preserve"> fotocasa de </w:t>
            </w:r>
            <w:r>
              <w:rPr>
                <w:rFonts w:ascii="Gill Sans MT" w:hAnsi="Gill Sans MT" w:cstheme="minorHAnsi"/>
              </w:rPr>
              <w:t xml:space="preserve">alquiler cerrará el año con una subida interanual en torno al 4%, la más alta de todo el histórico de </w:t>
            </w:r>
            <w:hyperlink r:id="rId15" w:history="1">
              <w:r w:rsidR="009D18E2" w:rsidRPr="004C2497">
                <w:rPr>
                  <w:rStyle w:val="Hipervnculo"/>
                  <w:rFonts w:ascii="Gill Sans MT" w:hAnsi="Gill Sans MT" w:cstheme="minorHAnsi"/>
                </w:rPr>
                <w:t>fotocasa</w:t>
              </w:r>
            </w:hyperlink>
            <w:r>
              <w:rPr>
                <w:rFonts w:ascii="Gill Sans MT" w:hAnsi="Gill Sans MT" w:cstheme="minorHAnsi"/>
              </w:rPr>
              <w:t xml:space="preserve"> que se suma a la registrada en 2015 del 3,8%.</w:t>
            </w:r>
          </w:p>
          <w:p w:rsidR="00261FA6" w:rsidRDefault="00261FA6" w:rsidP="00261FA6">
            <w:pPr>
              <w:jc w:val="both"/>
              <w:rPr>
                <w:rFonts w:ascii="Gill Sans MT" w:hAnsi="Gill Sans MT" w:cstheme="minorHAnsi"/>
              </w:rPr>
            </w:pPr>
          </w:p>
          <w:p w:rsidR="00261FA6" w:rsidRDefault="00261FA6" w:rsidP="00261FA6">
            <w:pPr>
              <w:autoSpaceDE w:val="0"/>
              <w:autoSpaceDN w:val="0"/>
              <w:adjustRightInd w:val="0"/>
              <w:jc w:val="both"/>
              <w:rPr>
                <w:rFonts w:ascii="Gill Sans MT" w:hAnsi="Gill Sans MT" w:cstheme="minorHAnsi"/>
              </w:rPr>
            </w:pPr>
            <w:r w:rsidRPr="00B7750A">
              <w:rPr>
                <w:rFonts w:ascii="Gill Sans MT" w:hAnsi="Gill Sans MT" w:cstheme="minorHAnsi"/>
              </w:rPr>
              <w:t>“Pese a la vuelta del crédito y la estabilización de los precios en la compraventa, el mercado del alquiler está registrando un fuerte dinamismo en los últimos años. Por ello, los precios están subiendo de forma generalizada en buena parte del país, aunque destacan los incrementos a nivel interanual que se están registrando en muchos distritos de Barcelona y Madrid, que en algunos casos superan el 10 y hasta el 20%. Las causas son varias: la fuerte demanda, la imposibilidad de comprar una vivienda por buena parte de la población y las altas rentabilidades que ofrece el alquiler. Pero también se está produciendo un cambio de mentalidad en los españoles a favor de esta forma de vida que puede ser una oportunidad para el sector si se sabe aprovechar”, explica Beatriz Toribio.</w:t>
            </w:r>
          </w:p>
          <w:p w:rsidR="00261FA6" w:rsidRPr="00B7750A" w:rsidRDefault="00261FA6" w:rsidP="00261FA6">
            <w:pPr>
              <w:autoSpaceDE w:val="0"/>
              <w:autoSpaceDN w:val="0"/>
              <w:adjustRightInd w:val="0"/>
              <w:jc w:val="both"/>
              <w:rPr>
                <w:rFonts w:ascii="Gill Sans MT" w:hAnsi="Gill Sans MT" w:cstheme="minorHAnsi"/>
              </w:rPr>
            </w:pPr>
          </w:p>
          <w:p w:rsidR="00261FA6" w:rsidRDefault="00261FA6" w:rsidP="00261FA6">
            <w:pPr>
              <w:jc w:val="both"/>
              <w:rPr>
                <w:rFonts w:ascii="Gill Sans MT" w:hAnsi="Gill Sans MT" w:cstheme="minorHAnsi"/>
                <w:b/>
              </w:rPr>
            </w:pPr>
            <w:r w:rsidRPr="004E255E">
              <w:rPr>
                <w:rFonts w:ascii="Gill Sans MT" w:hAnsi="Gill Sans MT" w:cstheme="minorHAnsi"/>
                <w:b/>
              </w:rPr>
              <w:t xml:space="preserve"> “2017 será el año de la recuperación”</w:t>
            </w:r>
          </w:p>
          <w:p w:rsidR="00261FA6" w:rsidRPr="004E255E"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Para 2017, </w:t>
            </w:r>
            <w:hyperlink r:id="rId16" w:history="1">
              <w:r w:rsidR="009D18E2" w:rsidRPr="004C2497">
                <w:rPr>
                  <w:rStyle w:val="Hipervnculo"/>
                  <w:rFonts w:ascii="Gill Sans MT" w:hAnsi="Gill Sans MT" w:cstheme="minorHAnsi"/>
                </w:rPr>
                <w:t>fotocasa</w:t>
              </w:r>
            </w:hyperlink>
            <w:r w:rsidRPr="00B7750A">
              <w:rPr>
                <w:rFonts w:ascii="Gill Sans MT" w:hAnsi="Gill Sans MT" w:cstheme="minorHAnsi"/>
              </w:rPr>
              <w:t xml:space="preserve"> confía en que el sector seguirá avanzado en esta tendencia tan positiva, incluso aunque se modere el ritmo de crecimiento económico que auguran las previsiones macroeconómicas del Gobierno y de diferentes organismos económicos. “Esperamos que 2017 sea el año en el que sí podremos hablar por fin de recuperación y en el que el sector alcance unos niveles de actividad sostenibles y equilibrados”, asegura Beatriz Toribio.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Si se mantiene la reapertura del grifo del crédito y el actual contexto de bajos tipos de interés, “el repunte de los precios que ahora se focaliza en Madrid y Barcelona y determinadas zonas turísticas de la costa se extenderá a los extrarradios y a otras zonas del país”, afirma Toribio. Pero “no debemos de esperar grandes subidas porque la tendencia es hacia la normalización. Estamos recuperando parte del terreno perdido durante la crisis y en algunas zonas con amplio stock y escasa demanda de vivienda esta mejoría aún no se notará en 2017”.</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En cuanto a la demanda, si el mercado del empleo acompaña, el volumen de operaciones de compraventa seguirá creciendo y se podrá alcanzar el entorno de las 450.000-470.000 operaciones de compraventa. “En 2017 confirmaremos que la recuperación del sector está siendo lenta y moderada, pero constante”, afirma Toribio.</w:t>
            </w:r>
          </w:p>
          <w:p w:rsidR="00261FA6" w:rsidRDefault="00261FA6" w:rsidP="00261FA6">
            <w:pPr>
              <w:jc w:val="both"/>
              <w:rPr>
                <w:rFonts w:ascii="Gill Sans MT" w:hAnsi="Gill Sans MT" w:cstheme="minorHAnsi"/>
                <w:b/>
              </w:rPr>
            </w:pPr>
            <w:r w:rsidRPr="004E255E">
              <w:rPr>
                <w:rFonts w:ascii="Gill Sans MT" w:hAnsi="Gill Sans MT" w:cstheme="minorHAnsi"/>
                <w:b/>
              </w:rPr>
              <w:lastRenderedPageBreak/>
              <w:t>“La vivienda nueva despuntará”</w:t>
            </w:r>
          </w:p>
          <w:p w:rsidR="00261FA6" w:rsidRPr="004E255E" w:rsidRDefault="00261FA6" w:rsidP="00261FA6">
            <w:pPr>
              <w:jc w:val="both"/>
              <w:rPr>
                <w:rFonts w:ascii="Gill Sans MT" w:hAnsi="Gill Sans MT" w:cstheme="minorHAnsi"/>
                <w:b/>
              </w:rPr>
            </w:pPr>
          </w:p>
          <w:p w:rsidR="00261FA6" w:rsidRDefault="00261FA6" w:rsidP="00261FA6">
            <w:pPr>
              <w:jc w:val="both"/>
              <w:rPr>
                <w:rFonts w:ascii="Gill Sans MT" w:hAnsi="Gill Sans MT" w:cstheme="minorHAnsi"/>
              </w:rPr>
            </w:pPr>
            <w:r w:rsidRPr="00B7750A">
              <w:rPr>
                <w:rFonts w:ascii="Gill Sans MT" w:hAnsi="Gill Sans MT" w:cstheme="minorHAnsi"/>
              </w:rPr>
              <w:t>En su opinión, una de las claves de 2017 estará en que “por fin la vivienda nueva despuntará” en las estadísticas oficiales y recortará distancias con respecto a la de segunda mano como consecuencia de la mayor actividad promotora que se ha conocido en 2016.</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“En grandes ciudades como Madrid y Barcelona hay déficit de vivienda nueva y en este 2016 se ha registrado un aumento de la compra sobre plano que se trasladará a las estadísticas oficiales a lo largo del próximo año”, añade.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Además, la responsable de Estudios defiende que los inversores seguirán apostando por el mercado inmobiliario español en un contexto de bajos tipos de interés y volatilidad en las bolsas. “De cara al exterior somos un mercado muy interesante porque ofrecemos estabilidad y seguridad, además de altas rentabilidades. Tras el fuerte ajuste del sector, las perspectivas de recuperación son muy buenas y eso es muy interesante en un momento en que hay liquidez”, añade. </w:t>
            </w:r>
          </w:p>
          <w:p w:rsidR="00261FA6" w:rsidRPr="00B7750A" w:rsidRDefault="00261FA6" w:rsidP="00261FA6">
            <w:pPr>
              <w:jc w:val="both"/>
              <w:rPr>
                <w:rFonts w:ascii="Gill Sans MT" w:hAnsi="Gill Sans MT" w:cstheme="minorHAnsi"/>
              </w:rPr>
            </w:pPr>
          </w:p>
          <w:p w:rsidR="00261FA6" w:rsidRDefault="00261FA6" w:rsidP="00261FA6">
            <w:pPr>
              <w:jc w:val="both"/>
              <w:rPr>
                <w:rFonts w:ascii="Gill Sans MT" w:hAnsi="Gill Sans MT" w:cstheme="minorHAnsi"/>
              </w:rPr>
            </w:pPr>
            <w:r w:rsidRPr="00B7750A">
              <w:rPr>
                <w:rFonts w:ascii="Gill Sans MT" w:hAnsi="Gill Sans MT" w:cstheme="minorHAnsi"/>
              </w:rPr>
              <w:t xml:space="preserve">En su opinión, hay que aprovechar este positivo contexto para profundizar en las reformas y cambios que necesita el mercado inmobiliario español. La excesiva burocracia, </w:t>
            </w:r>
            <w:r>
              <w:rPr>
                <w:rFonts w:ascii="Gill Sans MT" w:hAnsi="Gill Sans MT" w:cstheme="minorHAnsi"/>
              </w:rPr>
              <w:t>una mejor política de</w:t>
            </w:r>
            <w:r w:rsidRPr="00B7750A">
              <w:rPr>
                <w:rFonts w:ascii="Gill Sans MT" w:hAnsi="Gill Sans MT" w:cstheme="minorHAnsi"/>
              </w:rPr>
              <w:t xml:space="preserve"> rehabilitación y una mayor oferta de vivienda pública, son algunos de ellos. Pero, sobre todo, “hay dos retos a los que el sector tiene que hacer frente con urgencia: una apuesta clara por el mercado del alquiler y facilitar el acceso a la vivienda de los jóvenes”. </w:t>
            </w:r>
          </w:p>
          <w:p w:rsidR="00261FA6" w:rsidRPr="00B7750A" w:rsidRDefault="00261FA6" w:rsidP="00261FA6">
            <w:pPr>
              <w:jc w:val="both"/>
              <w:rPr>
                <w:rFonts w:ascii="Gill Sans MT" w:hAnsi="Gill Sans MT" w:cstheme="minorHAnsi"/>
              </w:rPr>
            </w:pPr>
          </w:p>
          <w:p w:rsidR="00261FA6" w:rsidRPr="00B7750A" w:rsidRDefault="00261FA6" w:rsidP="00261FA6">
            <w:pPr>
              <w:jc w:val="both"/>
              <w:rPr>
                <w:rFonts w:ascii="Gill Sans MT" w:hAnsi="Gill Sans MT" w:cstheme="minorHAnsi"/>
              </w:rPr>
            </w:pPr>
            <w:r w:rsidRPr="00B7750A">
              <w:rPr>
                <w:rFonts w:ascii="Gill Sans MT" w:hAnsi="Gill Sans MT" w:cstheme="minorHAnsi"/>
              </w:rPr>
              <w:t>Respecto al alquiler, Toribio pide que la Administración “se comprometa con incentivar este mercado” y apueste por “beneficios fiscales y medidas de estímulo que favorezcan la oferta de vivienda en alquiler” para mitigar las tensiones de precios que se viven en algunas ciudades.</w:t>
            </w:r>
          </w:p>
          <w:p w:rsidR="009225C0" w:rsidRDefault="009225C0" w:rsidP="00F10552">
            <w:pPr>
              <w:jc w:val="both"/>
              <w:rPr>
                <w:rFonts w:ascii="Gill Sans MT" w:hAnsi="Gill Sans MT"/>
              </w:rPr>
            </w:pPr>
          </w:p>
          <w:p w:rsidR="00847108" w:rsidRDefault="00847108" w:rsidP="00F10552">
            <w:pPr>
              <w:jc w:val="both"/>
              <w:rPr>
                <w:rFonts w:ascii="Gill Sans MT" w:hAnsi="Gill Sans MT"/>
              </w:rPr>
            </w:pPr>
            <w:bookmarkStart w:id="0" w:name="_GoBack"/>
            <w:bookmarkEnd w:id="0"/>
          </w:p>
          <w:p w:rsidR="00EB1D25" w:rsidRDefault="00EB1D25" w:rsidP="00F10552">
            <w:pPr>
              <w:jc w:val="both"/>
              <w:rPr>
                <w:rFonts w:ascii="Gill Sans MT" w:hAnsi="Gill Sans MT"/>
              </w:rPr>
            </w:pPr>
          </w:p>
          <w:p w:rsidR="00DC4B98" w:rsidRPr="00C337D8" w:rsidRDefault="009225C0" w:rsidP="00DC4B98">
            <w:pPr>
              <w:pStyle w:val="Cuerpo"/>
              <w:jc w:val="both"/>
              <w:rPr>
                <w:rStyle w:val="Ninguno"/>
                <w:rFonts w:ascii="Gill Sans MT" w:hAnsi="Gill Sans MT" w:cs="Gisha"/>
                <w:b/>
                <w:bCs/>
              </w:rPr>
            </w:pPr>
            <w:r>
              <w:rPr>
                <w:rStyle w:val="Ninguno"/>
                <w:rFonts w:ascii="Gill Sans MT" w:hAnsi="Gill Sans MT" w:cs="Gisha"/>
                <w:b/>
                <w:bCs/>
              </w:rPr>
              <w:t>D</w:t>
            </w:r>
            <w:r w:rsidR="00DC4B98" w:rsidRPr="00C337D8">
              <w:rPr>
                <w:rStyle w:val="Ninguno"/>
                <w:rFonts w:ascii="Gill Sans MT" w:hAnsi="Gill Sans MT" w:cs="Gisha"/>
                <w:b/>
                <w:bCs/>
              </w:rPr>
              <w:t>epartamento de Comunicación de fotocasa</w:t>
            </w:r>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847108" w:rsidP="00DC4B98">
            <w:pPr>
              <w:pStyle w:val="Cuerpo"/>
              <w:jc w:val="both"/>
              <w:rPr>
                <w:rStyle w:val="Ninguno"/>
                <w:rFonts w:ascii="Gill Sans MT" w:hAnsi="Gill Sans MT" w:cs="Gisha"/>
                <w:lang w:val="en-US"/>
              </w:rPr>
            </w:pPr>
            <w:hyperlink r:id="rId17"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847108" w:rsidP="00DC4B98">
            <w:pPr>
              <w:pStyle w:val="Cuerpo"/>
              <w:jc w:val="both"/>
              <w:rPr>
                <w:rStyle w:val="Ninguno"/>
                <w:rFonts w:ascii="Gill Sans MT" w:hAnsi="Gill Sans MT" w:cs="Gisha"/>
                <w:lang w:val="en-US"/>
              </w:rPr>
            </w:pPr>
            <w:hyperlink r:id="rId18"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9225C0">
              <w:rPr>
                <w:rStyle w:val="Ninguno"/>
                <w:rFonts w:ascii="Gill Sans MT" w:hAnsi="Gill Sans MT" w:cs="Gisha"/>
              </w:rPr>
              <w:t>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EB1D25"/>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65FCB"/>
    <w:multiLevelType w:val="hybridMultilevel"/>
    <w:tmpl w:val="5C6E5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1FA6"/>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C2497"/>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47108"/>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25C0"/>
    <w:rsid w:val="00926B36"/>
    <w:rsid w:val="0094145A"/>
    <w:rsid w:val="009649F3"/>
    <w:rsid w:val="009815B3"/>
    <w:rsid w:val="00991495"/>
    <w:rsid w:val="009936C1"/>
    <w:rsid w:val="009A1595"/>
    <w:rsid w:val="009A1DD8"/>
    <w:rsid w:val="009A1E66"/>
    <w:rsid w:val="009A3F32"/>
    <w:rsid w:val="009A4414"/>
    <w:rsid w:val="009B355E"/>
    <w:rsid w:val="009B6764"/>
    <w:rsid w:val="009D18E2"/>
    <w:rsid w:val="009D4AA1"/>
    <w:rsid w:val="009E0EEE"/>
    <w:rsid w:val="009E4DB7"/>
    <w:rsid w:val="00A01952"/>
    <w:rsid w:val="00A139AF"/>
    <w:rsid w:val="00A17C5B"/>
    <w:rsid w:val="00A22B7A"/>
    <w:rsid w:val="00A46C66"/>
    <w:rsid w:val="00A65060"/>
    <w:rsid w:val="00A6552E"/>
    <w:rsid w:val="00A66DAA"/>
    <w:rsid w:val="00A754FD"/>
    <w:rsid w:val="00A92EC4"/>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1D25"/>
    <w:rsid w:val="00EB394F"/>
    <w:rsid w:val="00EC293C"/>
    <w:rsid w:val="00EC38AA"/>
    <w:rsid w:val="00EC64FD"/>
    <w:rsid w:val="00EC7DD4"/>
    <w:rsid w:val="00ED40D8"/>
    <w:rsid w:val="00ED5A78"/>
    <w:rsid w:val="00EE06C1"/>
    <w:rsid w:val="00EE7F2C"/>
    <w:rsid w:val="00EF1D4E"/>
    <w:rsid w:val="00EF75C4"/>
    <w:rsid w:val="00F01FD9"/>
    <w:rsid w:val="00F028D8"/>
    <w:rsid w:val="00F10552"/>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D6B91"/>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 w:type="paragraph" w:styleId="Prrafodelista">
    <w:name w:val="List Paragraph"/>
    <w:basedOn w:val="Normal"/>
    <w:uiPriority w:val="34"/>
    <w:qFormat/>
    <w:rsid w:val="00261FA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03706112">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tocasa.e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http://www.fotocasa.es" TargetMode="External"/><Relationship Id="rId17"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blog/fotocasaresponde/2017-recuperacion-sector-inmobiliario"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10" Type="http://schemas.openxmlformats.org/officeDocument/2006/relationships/image" Target="cid:image001.png@01CCF186.869316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hyperlink" Target="http://www.fotoca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9684-50C4-4E1F-92C7-71F2684B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1548</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35</cp:revision>
  <cp:lastPrinted>2015-09-02T11:00:00Z</cp:lastPrinted>
  <dcterms:created xsi:type="dcterms:W3CDTF">2015-11-06T08:22:00Z</dcterms:created>
  <dcterms:modified xsi:type="dcterms:W3CDTF">2016-12-12T08:55:00Z</dcterms:modified>
</cp:coreProperties>
</file>